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9D59" w14:textId="77777777" w:rsidR="0069171E" w:rsidRDefault="0069171E" w:rsidP="0069171E">
      <w:pPr>
        <w:ind w:left="-567"/>
        <w:rPr>
          <w:color w:val="3E007A"/>
          <w:sz w:val="32"/>
          <w:szCs w:val="32"/>
        </w:rPr>
      </w:pPr>
      <w:r>
        <w:rPr>
          <w:noProof/>
          <w:lang w:eastAsia="en-GB"/>
        </w:rPr>
        <mc:AlternateContent>
          <mc:Choice Requires="wps">
            <w:drawing>
              <wp:anchor distT="0" distB="0" distL="114300" distR="114300" simplePos="0" relativeHeight="251659264" behindDoc="0" locked="0" layoutInCell="1" allowOverlap="1" wp14:anchorId="3F0D9F56" wp14:editId="3F0D9F57">
                <wp:simplePos x="0" y="0"/>
                <wp:positionH relativeFrom="column">
                  <wp:posOffset>-129540</wp:posOffset>
                </wp:positionH>
                <wp:positionV relativeFrom="paragraph">
                  <wp:posOffset>226695</wp:posOffset>
                </wp:positionV>
                <wp:extent cx="8915400" cy="5943600"/>
                <wp:effectExtent l="32385" t="36195" r="34290"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943600"/>
                        </a:xfrm>
                        <a:prstGeom prst="rect">
                          <a:avLst/>
                        </a:prstGeom>
                        <a:solidFill>
                          <a:srgbClr val="FFFFFF"/>
                        </a:solidFill>
                        <a:ln w="57150" cmpd="thinThick">
                          <a:solidFill>
                            <a:srgbClr val="3D007A"/>
                          </a:solidFill>
                          <a:miter lim="800000"/>
                          <a:headEnd/>
                          <a:tailEnd/>
                        </a:ln>
                      </wps:spPr>
                      <wps:txbx>
                        <w:txbxContent>
                          <w:p w14:paraId="3F0D9F65" w14:textId="77777777" w:rsidR="0069171E" w:rsidRDefault="0069171E" w:rsidP="0069171E">
                            <w:pPr>
                              <w:jc w:val="center"/>
                            </w:pPr>
                          </w:p>
                          <w:p w14:paraId="3F0D9F66" w14:textId="77777777" w:rsidR="0069171E" w:rsidRDefault="0069171E" w:rsidP="0069171E">
                            <w:pPr>
                              <w:jc w:val="center"/>
                              <w:rPr>
                                <w:sz w:val="72"/>
                                <w:szCs w:val="72"/>
                              </w:rPr>
                            </w:pPr>
                          </w:p>
                          <w:p w14:paraId="3F0D9F67" w14:textId="77777777" w:rsidR="0069171E" w:rsidRDefault="0069171E" w:rsidP="0069171E">
                            <w:pPr>
                              <w:jc w:val="center"/>
                              <w:rPr>
                                <w:color w:val="3D007A"/>
                                <w:sz w:val="72"/>
                                <w:szCs w:val="72"/>
                              </w:rPr>
                            </w:pPr>
                            <w:r>
                              <w:rPr>
                                <w:color w:val="3D007A"/>
                                <w:sz w:val="72"/>
                                <w:szCs w:val="72"/>
                              </w:rPr>
                              <w:t>Corporate Equality Objectives</w:t>
                            </w:r>
                          </w:p>
                          <w:p w14:paraId="3F0D9F68" w14:textId="77777777" w:rsidR="0069171E" w:rsidRDefault="0069171E" w:rsidP="0069171E">
                            <w:pPr>
                              <w:jc w:val="center"/>
                              <w:rPr>
                                <w:color w:val="3D007A"/>
                                <w:sz w:val="72"/>
                                <w:szCs w:val="72"/>
                              </w:rPr>
                            </w:pPr>
                          </w:p>
                          <w:p w14:paraId="3F0D9F69" w14:textId="77777777" w:rsidR="0069171E" w:rsidRDefault="0069171E" w:rsidP="0069171E">
                            <w:pPr>
                              <w:jc w:val="center"/>
                              <w:rPr>
                                <w:color w:val="3D007A"/>
                                <w:sz w:val="72"/>
                                <w:szCs w:val="72"/>
                              </w:rPr>
                            </w:pPr>
                            <w:r>
                              <w:rPr>
                                <w:color w:val="3D007A"/>
                                <w:sz w:val="72"/>
                                <w:szCs w:val="72"/>
                              </w:rPr>
                              <w:t>Annual Progress Report</w:t>
                            </w:r>
                          </w:p>
                          <w:p w14:paraId="3F0D9F6A" w14:textId="77777777" w:rsidR="0069171E" w:rsidRPr="005A37AA" w:rsidRDefault="0069171E" w:rsidP="0069171E">
                            <w:pPr>
                              <w:jc w:val="center"/>
                              <w:rPr>
                                <w:color w:val="3D007A"/>
                                <w:sz w:val="72"/>
                                <w:szCs w:val="72"/>
                              </w:rPr>
                            </w:pPr>
                            <w:r>
                              <w:rPr>
                                <w:color w:val="3D007A"/>
                                <w:sz w:val="72"/>
                                <w:szCs w:val="72"/>
                              </w:rPr>
                              <w:t>2016/17</w:t>
                            </w:r>
                          </w:p>
                          <w:p w14:paraId="3F0D9F6B" w14:textId="77777777" w:rsidR="0069171E" w:rsidRPr="005A37AA" w:rsidRDefault="0069171E" w:rsidP="0069171E">
                            <w:pPr>
                              <w:rPr>
                                <w:sz w:val="72"/>
                                <w:szCs w:val="72"/>
                              </w:rPr>
                            </w:pPr>
                          </w:p>
                          <w:p w14:paraId="3F0D9F6C" w14:textId="77777777" w:rsidR="0069171E" w:rsidRPr="005A37AA" w:rsidRDefault="0069171E" w:rsidP="0069171E">
                            <w:pPr>
                              <w:jc w:val="center"/>
                              <w:rPr>
                                <w:color w:val="FF9900"/>
                                <w:sz w:val="72"/>
                                <w:szCs w:val="72"/>
                              </w:rPr>
                            </w:pPr>
                            <w:r>
                              <w:rPr>
                                <w:color w:val="FF9900"/>
                                <w:sz w:val="72"/>
                                <w:szCs w:val="72"/>
                              </w:rPr>
                              <w:t>Meeting the Public Sector Equality Duty</w:t>
                            </w:r>
                          </w:p>
                          <w:p w14:paraId="3F0D9F6D" w14:textId="77777777" w:rsidR="0069171E" w:rsidRPr="00F94D41" w:rsidRDefault="0069171E" w:rsidP="0069171E">
                            <w:pPr>
                              <w:jc w:val="center"/>
                              <w:rPr>
                                <w:sz w:val="52"/>
                                <w:szCs w:val="52"/>
                              </w:rPr>
                            </w:pPr>
                          </w:p>
                          <w:p w14:paraId="3F0D9F6E" w14:textId="77777777" w:rsidR="0069171E" w:rsidRPr="005A37AA" w:rsidRDefault="0069171E" w:rsidP="0069171E">
                            <w:pPr>
                              <w:jc w:val="center"/>
                              <w:rPr>
                                <w:sz w:val="72"/>
                                <w:szCs w:val="72"/>
                              </w:rPr>
                            </w:pPr>
                            <w:r>
                              <w:rPr>
                                <w:noProof/>
                                <w:sz w:val="72"/>
                                <w:szCs w:val="72"/>
                                <w:lang w:eastAsia="en-GB"/>
                              </w:rPr>
                              <w:drawing>
                                <wp:inline distT="0" distB="0" distL="0" distR="0" wp14:anchorId="3F0D9F6F" wp14:editId="3F0D9F70">
                                  <wp:extent cx="4495800" cy="1257300"/>
                                  <wp:effectExtent l="0" t="0" r="0" b="0"/>
                                  <wp:docPr id="3" name="Picture 3" descr="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17.85pt;width:70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" strokecolor="#3d007a" strokeweight="4.5pt">
                <v:stroke linestyle="thinThick"/>
                <v:textbox>
                  <w:txbxContent>
                    <w:p w14:paraId="3F0D9F65" w14:textId="77777777" w:rsidR="0069171E" w:rsidRDefault="0069171E" w:rsidP="0069171E">
                      <w:pPr>
                        <w:jc w:val="center"/>
                      </w:pPr>
                    </w:p>
                    <w:p w14:paraId="3F0D9F66" w14:textId="77777777" w:rsidR="0069171E" w:rsidRDefault="0069171E" w:rsidP="0069171E">
                      <w:pPr>
                        <w:jc w:val="center"/>
                        <w:rPr>
                          <w:sz w:val="72"/>
                          <w:szCs w:val="72"/>
                        </w:rPr>
                      </w:pPr>
                    </w:p>
                    <w:p w14:paraId="3F0D9F67" w14:textId="77777777" w:rsidR="0069171E" w:rsidRDefault="0069171E" w:rsidP="0069171E">
                      <w:pPr>
                        <w:jc w:val="center"/>
                        <w:rPr>
                          <w:color w:val="3D007A"/>
                          <w:sz w:val="72"/>
                          <w:szCs w:val="72"/>
                        </w:rPr>
                      </w:pPr>
                      <w:r>
                        <w:rPr>
                          <w:color w:val="3D007A"/>
                          <w:sz w:val="72"/>
                          <w:szCs w:val="72"/>
                        </w:rPr>
                        <w:t>Corporate Equality Objectives</w:t>
                      </w:r>
                    </w:p>
                    <w:p w14:paraId="3F0D9F68" w14:textId="77777777" w:rsidR="0069171E" w:rsidRDefault="0069171E" w:rsidP="0069171E">
                      <w:pPr>
                        <w:jc w:val="center"/>
                        <w:rPr>
                          <w:color w:val="3D007A"/>
                          <w:sz w:val="72"/>
                          <w:szCs w:val="72"/>
                        </w:rPr>
                      </w:pPr>
                    </w:p>
                    <w:p w14:paraId="3F0D9F69" w14:textId="77777777" w:rsidR="0069171E" w:rsidRDefault="0069171E" w:rsidP="0069171E">
                      <w:pPr>
                        <w:jc w:val="center"/>
                        <w:rPr>
                          <w:color w:val="3D007A"/>
                          <w:sz w:val="72"/>
                          <w:szCs w:val="72"/>
                        </w:rPr>
                      </w:pPr>
                      <w:r>
                        <w:rPr>
                          <w:color w:val="3D007A"/>
                          <w:sz w:val="72"/>
                          <w:szCs w:val="72"/>
                        </w:rPr>
                        <w:t>Annual Progress Report</w:t>
                      </w:r>
                    </w:p>
                    <w:p w14:paraId="3F0D9F6A" w14:textId="77777777" w:rsidR="0069171E" w:rsidRPr="005A37AA" w:rsidRDefault="0069171E" w:rsidP="0069171E">
                      <w:pPr>
                        <w:jc w:val="center"/>
                        <w:rPr>
                          <w:color w:val="3D007A"/>
                          <w:sz w:val="72"/>
                          <w:szCs w:val="72"/>
                        </w:rPr>
                      </w:pPr>
                      <w:r>
                        <w:rPr>
                          <w:color w:val="3D007A"/>
                          <w:sz w:val="72"/>
                          <w:szCs w:val="72"/>
                        </w:rPr>
                        <w:t>2016/17</w:t>
                      </w:r>
                    </w:p>
                    <w:p w14:paraId="3F0D9F6B" w14:textId="77777777" w:rsidR="0069171E" w:rsidRPr="005A37AA" w:rsidRDefault="0069171E" w:rsidP="0069171E">
                      <w:pPr>
                        <w:rPr>
                          <w:sz w:val="72"/>
                          <w:szCs w:val="72"/>
                        </w:rPr>
                      </w:pPr>
                    </w:p>
                    <w:p w14:paraId="3F0D9F6C" w14:textId="77777777" w:rsidR="0069171E" w:rsidRPr="005A37AA" w:rsidRDefault="0069171E" w:rsidP="0069171E">
                      <w:pPr>
                        <w:jc w:val="center"/>
                        <w:rPr>
                          <w:color w:val="FF9900"/>
                          <w:sz w:val="72"/>
                          <w:szCs w:val="72"/>
                        </w:rPr>
                      </w:pPr>
                      <w:r>
                        <w:rPr>
                          <w:color w:val="FF9900"/>
                          <w:sz w:val="72"/>
                          <w:szCs w:val="72"/>
                        </w:rPr>
                        <w:t>Meeting the Public Sector Equality Duty</w:t>
                      </w:r>
                    </w:p>
                    <w:p w14:paraId="3F0D9F6D" w14:textId="77777777" w:rsidR="0069171E" w:rsidRPr="00F94D41" w:rsidRDefault="0069171E" w:rsidP="0069171E">
                      <w:pPr>
                        <w:jc w:val="center"/>
                        <w:rPr>
                          <w:sz w:val="52"/>
                          <w:szCs w:val="52"/>
                        </w:rPr>
                      </w:pPr>
                    </w:p>
                    <w:p w14:paraId="3F0D9F6E" w14:textId="77777777" w:rsidR="0069171E" w:rsidRPr="005A37AA" w:rsidRDefault="0069171E" w:rsidP="0069171E">
                      <w:pPr>
                        <w:jc w:val="center"/>
                        <w:rPr>
                          <w:sz w:val="72"/>
                          <w:szCs w:val="72"/>
                        </w:rPr>
                      </w:pPr>
                      <w:r>
                        <w:rPr>
                          <w:noProof/>
                          <w:sz w:val="72"/>
                          <w:szCs w:val="72"/>
                          <w:lang w:eastAsia="en-GB"/>
                        </w:rPr>
                        <w:drawing>
                          <wp:inline distT="0" distB="0" distL="0" distR="0" wp14:anchorId="3F0D9F6F" wp14:editId="3F0D9F70">
                            <wp:extent cx="4495800" cy="1257300"/>
                            <wp:effectExtent l="0" t="0" r="0" b="0"/>
                            <wp:docPr id="3" name="Picture 3" descr="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1257300"/>
                                    </a:xfrm>
                                    <a:prstGeom prst="rect">
                                      <a:avLst/>
                                    </a:prstGeom>
                                    <a:noFill/>
                                    <a:ln>
                                      <a:noFill/>
                                    </a:ln>
                                  </pic:spPr>
                                </pic:pic>
                              </a:graphicData>
                            </a:graphic>
                          </wp:inline>
                        </w:drawing>
                      </w:r>
                    </w:p>
                  </w:txbxContent>
                </v:textbox>
              </v:shape>
            </w:pict>
          </mc:Fallback>
        </mc:AlternateContent>
      </w:r>
      <w:r w:rsidRPr="00C62130">
        <w:rPr>
          <w:highlight w:val="yellow"/>
        </w:rPr>
        <w:br w:type="page"/>
      </w:r>
    </w:p>
    <w:p w14:paraId="3F0D9D5A" w14:textId="77777777" w:rsidR="00B71C52" w:rsidRDefault="00B71C52" w:rsidP="004E141E">
      <w:pPr>
        <w:ind w:left="-567"/>
        <w:jc w:val="both"/>
        <w:rPr>
          <w:b/>
          <w:color w:val="3E007A"/>
          <w:sz w:val="28"/>
        </w:rPr>
        <w:sectPr w:rsidR="00B71C52" w:rsidSect="008F1E99">
          <w:footerReference w:type="default" r:id="rId15"/>
          <w:pgSz w:w="16838" w:h="11906" w:orient="landscape"/>
          <w:pgMar w:top="1440" w:right="1440" w:bottom="1440" w:left="1440" w:header="708" w:footer="708" w:gutter="0"/>
          <w:cols w:space="708"/>
          <w:docGrid w:linePitch="360"/>
        </w:sectPr>
      </w:pPr>
    </w:p>
    <w:p w14:paraId="3F0D9D5B" w14:textId="77777777" w:rsidR="005B2A93" w:rsidRPr="009F2498" w:rsidRDefault="005B2A93" w:rsidP="00B71C52">
      <w:pPr>
        <w:ind w:left="-57"/>
        <w:jc w:val="both"/>
        <w:rPr>
          <w:b/>
          <w:color w:val="3E007A"/>
          <w:sz w:val="28"/>
        </w:rPr>
      </w:pPr>
      <w:r w:rsidRPr="009F2498">
        <w:rPr>
          <w:b/>
          <w:color w:val="3E007A"/>
          <w:sz w:val="28"/>
        </w:rPr>
        <w:lastRenderedPageBreak/>
        <w:t>Foreword</w:t>
      </w:r>
    </w:p>
    <w:p w14:paraId="3F0D9D5C" w14:textId="77777777" w:rsidR="005B2A93" w:rsidRPr="009F2498" w:rsidRDefault="005B2A93" w:rsidP="00B71C52">
      <w:pPr>
        <w:ind w:left="-57"/>
        <w:jc w:val="both"/>
      </w:pPr>
    </w:p>
    <w:p w14:paraId="3F0D9D6C" w14:textId="77777777" w:rsidR="00B71C52" w:rsidRPr="009F2498" w:rsidRDefault="00B71C52" w:rsidP="008E52EC">
      <w:pPr>
        <w:ind w:left="-567"/>
        <w:jc w:val="both"/>
        <w:rPr>
          <w:rFonts w:eastAsia="Calibri"/>
          <w:b/>
          <w:color w:val="FF0000"/>
        </w:rPr>
        <w:sectPr w:rsidR="00B71C52" w:rsidRPr="009F2498" w:rsidSect="00B71C52">
          <w:type w:val="continuous"/>
          <w:pgSz w:w="16838" w:h="11906" w:orient="landscape"/>
          <w:pgMar w:top="1440" w:right="1440" w:bottom="1440" w:left="1440" w:header="708" w:footer="708" w:gutter="0"/>
          <w:cols w:num="2" w:space="708"/>
          <w:docGrid w:linePitch="360"/>
        </w:sectPr>
      </w:pPr>
    </w:p>
    <w:tbl>
      <w:tblPr>
        <w:tblW w:w="9908" w:type="dxa"/>
        <w:tblLayout w:type="fixed"/>
        <w:tblLook w:val="04A0" w:firstRow="1" w:lastRow="0" w:firstColumn="1" w:lastColumn="0" w:noHBand="0" w:noVBand="1"/>
      </w:tblPr>
      <w:tblGrid>
        <w:gridCol w:w="3652"/>
        <w:gridCol w:w="1447"/>
        <w:gridCol w:w="3514"/>
        <w:gridCol w:w="1295"/>
      </w:tblGrid>
      <w:tr w:rsidR="005B2A93" w:rsidRPr="009F2498" w14:paraId="3F0D9D71" w14:textId="77777777" w:rsidTr="000B6ACF">
        <w:tc>
          <w:tcPr>
            <w:tcW w:w="3652" w:type="dxa"/>
            <w:shd w:val="clear" w:color="auto" w:fill="auto"/>
          </w:tcPr>
          <w:p w14:paraId="3F0D9D6D" w14:textId="77777777" w:rsidR="005B2A93" w:rsidRPr="009F2498" w:rsidRDefault="005B2A93" w:rsidP="008E52EC">
            <w:pPr>
              <w:ind w:left="-567"/>
              <w:jc w:val="both"/>
              <w:rPr>
                <w:rFonts w:eastAsia="Calibri"/>
                <w:b/>
                <w:color w:val="FF0000"/>
              </w:rPr>
            </w:pPr>
          </w:p>
        </w:tc>
        <w:tc>
          <w:tcPr>
            <w:tcW w:w="1447" w:type="dxa"/>
            <w:shd w:val="clear" w:color="auto" w:fill="auto"/>
          </w:tcPr>
          <w:p w14:paraId="3F0D9D6E" w14:textId="77777777" w:rsidR="005B2A93" w:rsidRPr="009F2498" w:rsidRDefault="005B2A93" w:rsidP="008E52EC">
            <w:pPr>
              <w:ind w:left="-567"/>
              <w:jc w:val="both"/>
              <w:rPr>
                <w:rFonts w:eastAsia="Calibri"/>
                <w:b/>
                <w:color w:val="FF0000"/>
              </w:rPr>
            </w:pPr>
          </w:p>
        </w:tc>
        <w:tc>
          <w:tcPr>
            <w:tcW w:w="3514" w:type="dxa"/>
            <w:shd w:val="clear" w:color="auto" w:fill="auto"/>
          </w:tcPr>
          <w:p w14:paraId="3F0D9D6F" w14:textId="77777777" w:rsidR="005B2A93" w:rsidRPr="009F2498" w:rsidRDefault="005B2A93" w:rsidP="008E52EC">
            <w:pPr>
              <w:ind w:left="-567"/>
              <w:jc w:val="both"/>
              <w:rPr>
                <w:rFonts w:eastAsia="Calibri"/>
                <w:b/>
                <w:color w:val="FF0000"/>
              </w:rPr>
            </w:pPr>
          </w:p>
        </w:tc>
        <w:tc>
          <w:tcPr>
            <w:tcW w:w="1295" w:type="dxa"/>
            <w:shd w:val="clear" w:color="auto" w:fill="auto"/>
          </w:tcPr>
          <w:p w14:paraId="3F0D9D70" w14:textId="77777777" w:rsidR="005B2A93" w:rsidRPr="009F2498" w:rsidRDefault="005B2A93" w:rsidP="008E52EC">
            <w:pPr>
              <w:ind w:left="-567"/>
              <w:jc w:val="both"/>
              <w:rPr>
                <w:rFonts w:eastAsia="Calibri"/>
                <w:b/>
                <w:color w:val="FF0000"/>
              </w:rPr>
            </w:pPr>
          </w:p>
        </w:tc>
      </w:tr>
    </w:tbl>
    <w:p w14:paraId="3F0D9D76" w14:textId="77777777" w:rsidR="0070787C" w:rsidRPr="009F2498" w:rsidRDefault="0070787C" w:rsidP="009F2498">
      <w:pPr>
        <w:jc w:val="both"/>
        <w:rPr>
          <w:b/>
          <w:color w:val="3E007A"/>
          <w:sz w:val="28"/>
        </w:rPr>
        <w:sectPr w:rsidR="0070787C" w:rsidRPr="009F2498" w:rsidSect="00B71C52">
          <w:type w:val="continuous"/>
          <w:pgSz w:w="16838" w:h="11906" w:orient="landscape"/>
          <w:pgMar w:top="1440" w:right="1440" w:bottom="1440" w:left="1440" w:header="708" w:footer="708" w:gutter="0"/>
          <w:cols w:space="708"/>
          <w:docGrid w:linePitch="360"/>
        </w:sectPr>
      </w:pPr>
    </w:p>
    <w:p w14:paraId="500E84E8" w14:textId="029F4298" w:rsidR="009F2498" w:rsidRPr="009F2498" w:rsidRDefault="009F2498" w:rsidP="009F2498">
      <w:pPr>
        <w:jc w:val="both"/>
      </w:pPr>
      <w:r w:rsidRPr="009F2498">
        <w:lastRenderedPageBreak/>
        <w:t>Welcome to the latest Annual Equalities Progress Report which outlines our performance against our Corporate Equalit</w:t>
      </w:r>
      <w:r w:rsidR="00B90C44">
        <w:t>y Objectives for 2016/17. This R</w:t>
      </w:r>
      <w:r w:rsidRPr="009F2498">
        <w:t>eport highlights our performance and work towards advancing equality of opportunity, and helps evaluate the equality of our service provision. It also considers whether that work is benefitting our local communities and looks at ways we have worked to eliminate unlawful discrimination and promote good relations between the different communities that make up Harrow.  The Report includes a number of case studies illustrating the wide range of work carried out by the Council which contributes to making a difference for the vulnerable; for communities; for families and for local businesses.</w:t>
      </w:r>
    </w:p>
    <w:p w14:paraId="580D9305" w14:textId="77777777" w:rsidR="009F2498" w:rsidRPr="009F2498" w:rsidRDefault="009F2498" w:rsidP="009F2498">
      <w:pPr>
        <w:jc w:val="both"/>
      </w:pPr>
    </w:p>
    <w:p w14:paraId="1BCDFF62" w14:textId="77777777" w:rsidR="009F2498" w:rsidRPr="009F2498" w:rsidRDefault="009F2498" w:rsidP="009F2498">
      <w:pPr>
        <w:jc w:val="both"/>
        <w:rPr>
          <w:lang w:val="en-US"/>
        </w:rPr>
      </w:pPr>
      <w:r w:rsidRPr="009F2498">
        <w:rPr>
          <w:lang w:val="en-US"/>
        </w:rPr>
        <w:t xml:space="preserve">Equality is about describing a vision for the area that is built on </w:t>
      </w:r>
      <w:proofErr w:type="spellStart"/>
      <w:r w:rsidRPr="009F2498">
        <w:rPr>
          <w:lang w:val="en-US"/>
        </w:rPr>
        <w:t>recognising</w:t>
      </w:r>
      <w:proofErr w:type="spellEnd"/>
      <w:r w:rsidRPr="009F2498">
        <w:rPr>
          <w:lang w:val="en-US"/>
        </w:rPr>
        <w:t xml:space="preserve"> the needs of every local community, promoting inclusion and cohesion, fairness and justice. Harrow prides itself in being one of the most ethnically and religiously diverse boroughs in the country with people of many different backgrounds and life experiences living side by side. As a community leader, we will continue to work in partnership with the public, voluntary and private sectors to ensure we achieve this vision for our borough.</w:t>
      </w:r>
    </w:p>
    <w:p w14:paraId="48CB20E7" w14:textId="77777777" w:rsidR="009F2498" w:rsidRPr="009F2498" w:rsidRDefault="009F2498" w:rsidP="009F2498">
      <w:pPr>
        <w:jc w:val="both"/>
        <w:rPr>
          <w:lang w:val="en-US"/>
        </w:rPr>
      </w:pPr>
    </w:p>
    <w:p w14:paraId="33BA10A4" w14:textId="0F7860E4" w:rsidR="009F2498" w:rsidRPr="009F2498" w:rsidRDefault="009F2498" w:rsidP="009F2498">
      <w:pPr>
        <w:pStyle w:val="Default"/>
        <w:rPr>
          <w:color w:val="auto"/>
        </w:rPr>
      </w:pPr>
      <w:r w:rsidRPr="009F2498">
        <w:rPr>
          <w:color w:val="auto"/>
        </w:rPr>
        <w:t xml:space="preserve">The Council operates a robust approach to the governance and mainstreaming equality and diversity across the organisation. Our Corporate Equalities Group (CEG), chaired by a Corporate Director provides senior leadership and strategic direction for developing and implementing excellent equality, diversity, cohesion and human rights policy </w:t>
      </w:r>
      <w:r w:rsidRPr="009F2498">
        <w:rPr>
          <w:color w:val="auto"/>
        </w:rPr>
        <w:lastRenderedPageBreak/>
        <w:t>development, practice and service delivery. The CEG works in collaboration with its partners to establish the business case for the equalities agenda in terms of service improvement, user involvement and customer satisfaction; and monitor</w:t>
      </w:r>
      <w:r w:rsidR="006B01DC">
        <w:rPr>
          <w:color w:val="auto"/>
        </w:rPr>
        <w:t>s</w:t>
      </w:r>
      <w:r w:rsidRPr="009F2498">
        <w:rPr>
          <w:color w:val="auto"/>
        </w:rPr>
        <w:t xml:space="preserve"> equalities outcomes and progress. Each Directorate has in place a Directorate Equality Task Groups (DETGs) which form</w:t>
      </w:r>
      <w:r w:rsidR="006B01DC">
        <w:rPr>
          <w:color w:val="auto"/>
        </w:rPr>
        <w:t>s</w:t>
      </w:r>
      <w:r w:rsidRPr="009F2498">
        <w:rPr>
          <w:color w:val="auto"/>
        </w:rPr>
        <w:t xml:space="preserve"> a link between the CEG and Directorates. As well as playing a key role in championing equality, diversity and inclusion, promoting good practice on equality and diversity with regards to emplo</w:t>
      </w:r>
      <w:r w:rsidR="00691B93">
        <w:rPr>
          <w:color w:val="auto"/>
        </w:rPr>
        <w:t>yment and service delivery, ETG</w:t>
      </w:r>
      <w:r w:rsidRPr="009F2498">
        <w:rPr>
          <w:color w:val="auto"/>
        </w:rPr>
        <w:t>s are tasked with ensuring that corporate equality commitments and objectives are translated into action. These actions are set out within this Annual Equalities Report.</w:t>
      </w:r>
    </w:p>
    <w:p w14:paraId="041D2B70" w14:textId="77777777" w:rsidR="009F2498" w:rsidRPr="009F2498" w:rsidRDefault="009F2498" w:rsidP="009F2498">
      <w:pPr>
        <w:jc w:val="both"/>
      </w:pPr>
    </w:p>
    <w:p w14:paraId="6E182294" w14:textId="77777777" w:rsidR="009F2498" w:rsidRPr="009F2498" w:rsidRDefault="009F2498" w:rsidP="009F2498">
      <w:pPr>
        <w:jc w:val="both"/>
      </w:pPr>
      <w:r w:rsidRPr="009F2498">
        <w:t xml:space="preserve">Harrow is a vastly diverse Council, and there is so much being done across the Council to further equality and to celebrate the Borough’s diversity. The borough’s diversity is something to value and the Council can be proud of the achievements highlighted in this report, which build on our firm commitment to promote fairness and diversity, as outlined in our Corporate Plan. This Report also looks to highlight our continued commitment to maintaining and building on our strengths by ensuring equality and diversity are integral to everything we do.  </w:t>
      </w:r>
    </w:p>
    <w:p w14:paraId="2EF37F21" w14:textId="77777777" w:rsidR="009F2498" w:rsidRPr="009F2498" w:rsidRDefault="009F2498" w:rsidP="009F2498">
      <w:pPr>
        <w:jc w:val="both"/>
      </w:pPr>
    </w:p>
    <w:p w14:paraId="4E60D61A" w14:textId="32CA8255" w:rsidR="009F2498" w:rsidRPr="009F2498" w:rsidRDefault="009F2498" w:rsidP="009F2498">
      <w:pPr>
        <w:jc w:val="both"/>
      </w:pPr>
      <w:r w:rsidRPr="009F2498">
        <w:t xml:space="preserve">This </w:t>
      </w:r>
      <w:r w:rsidR="00B90C44">
        <w:t>R</w:t>
      </w:r>
      <w:r w:rsidRPr="009F2498">
        <w:t xml:space="preserve">eport provides you with details of the progress we are making in achieving our equality objectives and our ambition towards this for the year ahead.  </w:t>
      </w:r>
    </w:p>
    <w:p w14:paraId="52C7AB90" w14:textId="77777777" w:rsidR="00876139" w:rsidRDefault="00876139" w:rsidP="0070787C">
      <w:pPr>
        <w:jc w:val="both"/>
        <w:rPr>
          <w:b/>
          <w:color w:val="3E007A"/>
          <w:sz w:val="28"/>
        </w:rPr>
      </w:pPr>
    </w:p>
    <w:p w14:paraId="510D8A4C" w14:textId="77777777" w:rsidR="00876139" w:rsidRDefault="00876139" w:rsidP="0070787C">
      <w:pPr>
        <w:jc w:val="both"/>
        <w:rPr>
          <w:b/>
          <w:color w:val="3E007A"/>
          <w:sz w:val="28"/>
        </w:rPr>
      </w:pPr>
    </w:p>
    <w:p w14:paraId="3F0D9D77" w14:textId="77777777" w:rsidR="005B2A93" w:rsidRPr="005B2A93" w:rsidRDefault="005B2A93" w:rsidP="0070787C">
      <w:pPr>
        <w:jc w:val="both"/>
        <w:rPr>
          <w:b/>
          <w:sz w:val="28"/>
        </w:rPr>
      </w:pPr>
      <w:r w:rsidRPr="005B2A93">
        <w:rPr>
          <w:b/>
          <w:color w:val="3E007A"/>
          <w:sz w:val="28"/>
        </w:rPr>
        <w:lastRenderedPageBreak/>
        <w:t>Introduction</w:t>
      </w:r>
    </w:p>
    <w:p w14:paraId="3F0D9D78" w14:textId="77777777" w:rsidR="005B2A93" w:rsidRPr="005B2A93" w:rsidRDefault="005B2A93" w:rsidP="0070787C">
      <w:pPr>
        <w:jc w:val="both"/>
      </w:pPr>
    </w:p>
    <w:p w14:paraId="3F0D9D79" w14:textId="77777777" w:rsidR="005B2A93" w:rsidRPr="005B2A93" w:rsidRDefault="005B2A93" w:rsidP="007078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r w:rsidRPr="005B2A93">
        <w:rPr>
          <w:color w:val="000000"/>
          <w:lang w:val="en-US"/>
        </w:rPr>
        <w:t>Harrow is one of the most ethnically and religiously diverse boroughs in London with people of many different backgrounds and life experiences living side by side.  It is the richness of this diversity, and the positive impact that it has on the borough and our community, that we believe helps make Harrow such a great place to live, work and visit.  We know that the borough’s diversity is something to value and encourage and this Equality of Opportunity Policy highlights our commitment to maintaining and building on our strengths by ensuring equality and diversity is integral to everything we do.</w:t>
      </w:r>
    </w:p>
    <w:p w14:paraId="3F0D9D7A" w14:textId="77777777" w:rsidR="005B2A93" w:rsidRPr="005B2A93" w:rsidRDefault="005B2A93" w:rsidP="007078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p>
    <w:p w14:paraId="3F0D9D7B" w14:textId="77777777" w:rsidR="005B2A93" w:rsidRPr="005B2A93" w:rsidRDefault="005B2A93" w:rsidP="0070787C">
      <w:pPr>
        <w:jc w:val="both"/>
      </w:pPr>
      <w:r w:rsidRPr="005B2A93">
        <w:rPr>
          <w:color w:val="000000"/>
          <w:lang w:val="en-US"/>
        </w:rPr>
        <w:t>In serving a diverse population, the Council aims to ensure there is equality of opportunity for its residents, service users, employees, elected members, stakeholders and partner organisations irrespective of age, disability, gender reassignment, marriage and civil partnership, pregnancy and maternity, race, religion or belief, sex and sexual orientation</w:t>
      </w:r>
    </w:p>
    <w:p w14:paraId="3F0D9D7C" w14:textId="77777777" w:rsidR="005B2A93" w:rsidRPr="005B2A93" w:rsidRDefault="005B2A93" w:rsidP="0070787C">
      <w:pPr>
        <w:jc w:val="both"/>
      </w:pPr>
    </w:p>
    <w:p w14:paraId="3F0D9D7D" w14:textId="77777777" w:rsidR="005B2A93" w:rsidRPr="005B2A93" w:rsidRDefault="005B2A93" w:rsidP="0070787C">
      <w:pPr>
        <w:jc w:val="both"/>
      </w:pPr>
      <w:r w:rsidRPr="005B2A93">
        <w:t>However, we recognise that in our society, groups and individuals continue to be unlawfully discriminated against and we acknowledge our responsibilities to eliminate unlawful discrimination and to promote equality of opportunity and good relations within the rich diversity of Harrow's communities.</w:t>
      </w:r>
    </w:p>
    <w:p w14:paraId="173F67F0" w14:textId="77777777" w:rsidR="00691B93" w:rsidRDefault="00691B93"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color w:val="3E007A"/>
          <w:sz w:val="28"/>
        </w:rPr>
      </w:pPr>
    </w:p>
    <w:p w14:paraId="3F0D9D7F" w14:textId="77777777" w:rsidR="005B2A93" w:rsidRPr="008431D2" w:rsidRDefault="005B2A93"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en-US"/>
        </w:rPr>
      </w:pPr>
      <w:r w:rsidRPr="005B2A93">
        <w:rPr>
          <w:b/>
          <w:color w:val="3E007A"/>
          <w:sz w:val="28"/>
        </w:rPr>
        <w:t>The Equality Act 2010 and the Public Sector Equality Duty (PSED)</w:t>
      </w:r>
    </w:p>
    <w:p w14:paraId="3F0D9D80" w14:textId="77777777" w:rsidR="005B2A93" w:rsidRPr="005B2A93" w:rsidRDefault="005B2A93" w:rsidP="0070787C">
      <w:pPr>
        <w:jc w:val="both"/>
      </w:pPr>
    </w:p>
    <w:p w14:paraId="3F0D9D81" w14:textId="77777777" w:rsidR="005B2A93" w:rsidRPr="005B2A93" w:rsidRDefault="005B2A93" w:rsidP="0070787C">
      <w:pPr>
        <w:jc w:val="both"/>
      </w:pPr>
      <w:r w:rsidRPr="005B2A93">
        <w:lastRenderedPageBreak/>
        <w:t xml:space="preserve">The Equality Act 2010 introduced a new Public Sector Equality Duty (PSED) which requires public authorities, in the exercise of their functions, to have due regard to the need to: </w:t>
      </w:r>
    </w:p>
    <w:p w14:paraId="3F0D9D82" w14:textId="77777777" w:rsidR="005B2A93" w:rsidRPr="005B2A93" w:rsidRDefault="005B2A93" w:rsidP="0070787C">
      <w:pPr>
        <w:jc w:val="both"/>
      </w:pPr>
    </w:p>
    <w:p w14:paraId="3F0D9D83" w14:textId="77777777" w:rsidR="005B2A93" w:rsidRPr="005B2A93" w:rsidRDefault="005B2A93" w:rsidP="000B6562">
      <w:pPr>
        <w:pStyle w:val="ListParagraph"/>
        <w:numPr>
          <w:ilvl w:val="0"/>
          <w:numId w:val="19"/>
        </w:numPr>
        <w:jc w:val="both"/>
      </w:pPr>
      <w:r w:rsidRPr="005B2A93">
        <w:t>Eliminate unlawful discrimination, harassment and victimisation and other conduct prohibited by the Act;</w:t>
      </w:r>
    </w:p>
    <w:p w14:paraId="3F0D9D84" w14:textId="77777777" w:rsidR="005B2A93" w:rsidRPr="005B2A93" w:rsidRDefault="005B2A93" w:rsidP="000B6562">
      <w:pPr>
        <w:pStyle w:val="ListParagraph"/>
        <w:numPr>
          <w:ilvl w:val="0"/>
          <w:numId w:val="19"/>
        </w:numPr>
        <w:jc w:val="both"/>
      </w:pPr>
      <w:r w:rsidRPr="005B2A93">
        <w:t>Advance equality of opportunity between people who share a protected characteristic and those who do not; and</w:t>
      </w:r>
    </w:p>
    <w:p w14:paraId="3F0D9D85" w14:textId="77777777" w:rsidR="005B2A93" w:rsidRPr="005B2A93" w:rsidRDefault="005B2A93" w:rsidP="000B6562">
      <w:pPr>
        <w:pStyle w:val="ListParagraph"/>
        <w:numPr>
          <w:ilvl w:val="0"/>
          <w:numId w:val="19"/>
        </w:numPr>
        <w:jc w:val="both"/>
      </w:pPr>
      <w:r w:rsidRPr="005B2A93">
        <w:t xml:space="preserve">Foster good relations between people who share a protected characteristic and those who do not.  </w:t>
      </w:r>
    </w:p>
    <w:p w14:paraId="3F0D9D86" w14:textId="77777777" w:rsidR="005B2A93" w:rsidRPr="005B2A93" w:rsidRDefault="005B2A93" w:rsidP="0070787C">
      <w:pPr>
        <w:jc w:val="both"/>
      </w:pPr>
    </w:p>
    <w:p w14:paraId="3F0D9D87" w14:textId="77777777" w:rsidR="005B2A93" w:rsidRPr="005B2A93" w:rsidRDefault="005B2A93" w:rsidP="0070787C">
      <w:pPr>
        <w:jc w:val="both"/>
      </w:pPr>
      <w:r w:rsidRPr="005B2A93">
        <w:t xml:space="preserve">The PSED is supported by specific duties which are intended to help public authorities to meet its requirements. </w:t>
      </w:r>
    </w:p>
    <w:p w14:paraId="3F0D9D88" w14:textId="77777777" w:rsidR="005B2A93" w:rsidRPr="005B2A93" w:rsidRDefault="005B2A93" w:rsidP="0070787C">
      <w:pPr>
        <w:jc w:val="both"/>
      </w:pPr>
    </w:p>
    <w:p w14:paraId="3F0D9D89" w14:textId="77777777" w:rsidR="005B2A93" w:rsidRPr="005B2A93" w:rsidRDefault="005B2A93" w:rsidP="0070787C">
      <w:pPr>
        <w:jc w:val="both"/>
      </w:pPr>
      <w:r w:rsidRPr="005B2A93">
        <w:t>The new PSED replaces the previous three Public Sector Equality Duties – for race, disability and gender and now covers the following protected characteristics:</w:t>
      </w:r>
    </w:p>
    <w:p w14:paraId="3F0D9D8A" w14:textId="77777777" w:rsidR="005B2A93" w:rsidRPr="005B2A93" w:rsidRDefault="005B2A93" w:rsidP="0070787C">
      <w:pPr>
        <w:jc w:val="both"/>
      </w:pPr>
    </w:p>
    <w:p w14:paraId="3F0D9D8B" w14:textId="77777777" w:rsidR="005B2A93" w:rsidRPr="005B2A93" w:rsidRDefault="005B2A93" w:rsidP="000B6562">
      <w:pPr>
        <w:pStyle w:val="ListParagraph"/>
        <w:numPr>
          <w:ilvl w:val="0"/>
          <w:numId w:val="20"/>
        </w:numPr>
        <w:jc w:val="both"/>
      </w:pPr>
      <w:r w:rsidRPr="005B2A93">
        <w:t>Age</w:t>
      </w:r>
    </w:p>
    <w:p w14:paraId="3F0D9D8C" w14:textId="77777777" w:rsidR="005B2A93" w:rsidRPr="005B2A93" w:rsidRDefault="005B2A93" w:rsidP="000B6562">
      <w:pPr>
        <w:pStyle w:val="ListParagraph"/>
        <w:numPr>
          <w:ilvl w:val="0"/>
          <w:numId w:val="20"/>
        </w:numPr>
        <w:jc w:val="both"/>
      </w:pPr>
      <w:r w:rsidRPr="005B2A93">
        <w:t>Disability</w:t>
      </w:r>
    </w:p>
    <w:p w14:paraId="3F0D9D8D" w14:textId="77777777" w:rsidR="005B2A93" w:rsidRPr="005B2A93" w:rsidRDefault="005B2A93" w:rsidP="000B6562">
      <w:pPr>
        <w:pStyle w:val="ListParagraph"/>
        <w:numPr>
          <w:ilvl w:val="0"/>
          <w:numId w:val="20"/>
        </w:numPr>
        <w:jc w:val="both"/>
      </w:pPr>
      <w:r w:rsidRPr="005B2A93">
        <w:t>Gender Reassignment</w:t>
      </w:r>
    </w:p>
    <w:p w14:paraId="3F0D9D8E" w14:textId="77777777" w:rsidR="005B2A93" w:rsidRPr="005B2A93" w:rsidRDefault="005B2A93" w:rsidP="000B6562">
      <w:pPr>
        <w:pStyle w:val="ListParagraph"/>
        <w:numPr>
          <w:ilvl w:val="0"/>
          <w:numId w:val="20"/>
        </w:numPr>
        <w:jc w:val="both"/>
      </w:pPr>
      <w:r w:rsidRPr="005B2A93">
        <w:t>Pregnancy and Maternity</w:t>
      </w:r>
    </w:p>
    <w:p w14:paraId="3F0D9D8F" w14:textId="77777777" w:rsidR="005B2A93" w:rsidRPr="005B2A93" w:rsidRDefault="005B2A93" w:rsidP="000B6562">
      <w:pPr>
        <w:pStyle w:val="ListParagraph"/>
        <w:numPr>
          <w:ilvl w:val="0"/>
          <w:numId w:val="20"/>
        </w:numPr>
        <w:jc w:val="both"/>
      </w:pPr>
      <w:r w:rsidRPr="005B2A93">
        <w:t>Race – this includes ethnic or national origins, colour or nationality</w:t>
      </w:r>
    </w:p>
    <w:p w14:paraId="3F0D9D90" w14:textId="77777777" w:rsidR="005B2A93" w:rsidRPr="005B2A93" w:rsidRDefault="005B2A93" w:rsidP="000B6562">
      <w:pPr>
        <w:pStyle w:val="ListParagraph"/>
        <w:numPr>
          <w:ilvl w:val="0"/>
          <w:numId w:val="20"/>
        </w:numPr>
        <w:jc w:val="both"/>
      </w:pPr>
      <w:r w:rsidRPr="005B2A93">
        <w:t>Religion or Belief – this includes lack of belief</w:t>
      </w:r>
    </w:p>
    <w:p w14:paraId="3F0D9D91" w14:textId="77777777" w:rsidR="005B2A93" w:rsidRPr="005B2A93" w:rsidRDefault="005B2A93" w:rsidP="000B6562">
      <w:pPr>
        <w:pStyle w:val="ListParagraph"/>
        <w:numPr>
          <w:ilvl w:val="0"/>
          <w:numId w:val="20"/>
        </w:numPr>
        <w:jc w:val="both"/>
      </w:pPr>
      <w:r w:rsidRPr="005B2A93">
        <w:t>Sex</w:t>
      </w:r>
    </w:p>
    <w:p w14:paraId="3F0D9D92" w14:textId="77777777" w:rsidR="005B2A93" w:rsidRPr="005B2A93" w:rsidRDefault="005B2A93" w:rsidP="000B6562">
      <w:pPr>
        <w:pStyle w:val="ListParagraph"/>
        <w:numPr>
          <w:ilvl w:val="0"/>
          <w:numId w:val="20"/>
        </w:numPr>
        <w:jc w:val="both"/>
      </w:pPr>
      <w:r w:rsidRPr="005B2A93">
        <w:t>Sexual Orientation</w:t>
      </w:r>
    </w:p>
    <w:p w14:paraId="3F0D9D93" w14:textId="77777777" w:rsidR="005B2A93" w:rsidRPr="005B2A93" w:rsidRDefault="005B2A93" w:rsidP="000B6562">
      <w:pPr>
        <w:jc w:val="both"/>
      </w:pPr>
    </w:p>
    <w:p w14:paraId="3F0D9D94" w14:textId="77777777" w:rsidR="005B2A93" w:rsidRPr="005B2A93" w:rsidRDefault="005B2A93" w:rsidP="0070787C">
      <w:pPr>
        <w:jc w:val="both"/>
      </w:pPr>
      <w:r w:rsidRPr="005B2A93">
        <w:t>It also applies to Marriage and Civil partnership but only in respect of the requirement to have due regard to the need to eliminate discrimination.</w:t>
      </w:r>
    </w:p>
    <w:p w14:paraId="3F0D9D95" w14:textId="77777777" w:rsidR="005B2A93" w:rsidRPr="005B2A93" w:rsidRDefault="005B2A93" w:rsidP="0070787C">
      <w:pPr>
        <w:jc w:val="both"/>
      </w:pPr>
      <w:r w:rsidRPr="005B2A93">
        <w:lastRenderedPageBreak/>
        <w:t>Public authorities covered by the specific duties are required to:</w:t>
      </w:r>
    </w:p>
    <w:p w14:paraId="3F0D9D96" w14:textId="77777777" w:rsidR="005B2A93" w:rsidRPr="005B2A93" w:rsidRDefault="005B2A93" w:rsidP="0070787C">
      <w:pPr>
        <w:jc w:val="both"/>
      </w:pPr>
    </w:p>
    <w:p w14:paraId="3F0D9D97" w14:textId="77777777" w:rsidR="005B2A93" w:rsidRPr="005B2A93" w:rsidRDefault="005B2A93" w:rsidP="0070787C">
      <w:pPr>
        <w:numPr>
          <w:ilvl w:val="0"/>
          <w:numId w:val="3"/>
        </w:numPr>
        <w:ind w:left="0"/>
        <w:jc w:val="both"/>
      </w:pPr>
      <w:r w:rsidRPr="005B2A93">
        <w:t>Publish by the 31</w:t>
      </w:r>
      <w:r w:rsidRPr="005B2A93">
        <w:rPr>
          <w:vertAlign w:val="superscript"/>
        </w:rPr>
        <w:t>st</w:t>
      </w:r>
      <w:r w:rsidRPr="005B2A93">
        <w:t xml:space="preserve"> January 2012 information to demonstrate their compliance with the general equality duty; and</w:t>
      </w:r>
    </w:p>
    <w:p w14:paraId="3F0D9D98" w14:textId="77777777" w:rsidR="005B2A93" w:rsidRDefault="005B2A93" w:rsidP="0070787C">
      <w:pPr>
        <w:numPr>
          <w:ilvl w:val="0"/>
          <w:numId w:val="3"/>
        </w:numPr>
        <w:ind w:left="0"/>
        <w:jc w:val="both"/>
      </w:pPr>
      <w:r w:rsidRPr="005B2A93">
        <w:t xml:space="preserve">Prepare and publish by 6 April 2012, and at least every four years thereafter one or more equality objectives. </w:t>
      </w:r>
    </w:p>
    <w:p w14:paraId="3F0D9D99" w14:textId="77777777" w:rsidR="005B2A93" w:rsidRDefault="005B2A93" w:rsidP="0070787C">
      <w:pPr>
        <w:jc w:val="both"/>
        <w:rPr>
          <w:b/>
          <w:color w:val="3E007A"/>
          <w:sz w:val="28"/>
        </w:rPr>
      </w:pPr>
    </w:p>
    <w:p w14:paraId="3F0D9D9A" w14:textId="77777777" w:rsidR="005B2A93" w:rsidRPr="005B2A93" w:rsidRDefault="005B2A93" w:rsidP="0070787C">
      <w:pPr>
        <w:jc w:val="both"/>
      </w:pPr>
      <w:r w:rsidRPr="005B2A93">
        <w:rPr>
          <w:b/>
          <w:color w:val="3E007A"/>
          <w:sz w:val="28"/>
        </w:rPr>
        <w:t>Our Corporate Equality Objectives</w:t>
      </w:r>
    </w:p>
    <w:p w14:paraId="3F0D9D9B" w14:textId="77777777" w:rsidR="005B2A93" w:rsidRPr="005B2A93" w:rsidRDefault="005B2A93" w:rsidP="0070787C">
      <w:pPr>
        <w:jc w:val="both"/>
      </w:pPr>
    </w:p>
    <w:p w14:paraId="3F0D9D9C" w14:textId="77777777" w:rsidR="00DE4F41" w:rsidRDefault="005B2A93" w:rsidP="0070787C">
      <w:pPr>
        <w:pStyle w:val="NoSpacing"/>
        <w:jc w:val="both"/>
        <w:rPr>
          <w:rFonts w:ascii="Arial" w:hAnsi="Arial" w:cs="Arial"/>
          <w:sz w:val="24"/>
          <w:szCs w:val="24"/>
        </w:rPr>
      </w:pPr>
      <w:r w:rsidRPr="005B2A93">
        <w:rPr>
          <w:rFonts w:ascii="Arial" w:hAnsi="Arial" w:cs="Arial"/>
          <w:sz w:val="24"/>
          <w:szCs w:val="24"/>
        </w:rPr>
        <w:t xml:space="preserve">The Corporate Plan sets out the Council’s vision </w:t>
      </w:r>
      <w:r w:rsidR="0019703E">
        <w:rPr>
          <w:rFonts w:ascii="Arial" w:hAnsi="Arial" w:cs="Arial"/>
          <w:sz w:val="24"/>
          <w:szCs w:val="24"/>
        </w:rPr>
        <w:t xml:space="preserve">which is </w:t>
      </w:r>
      <w:r w:rsidRPr="005B2A93">
        <w:rPr>
          <w:rFonts w:ascii="Arial" w:hAnsi="Arial" w:cs="Arial"/>
          <w:b/>
          <w:bCs/>
          <w:sz w:val="24"/>
          <w:szCs w:val="24"/>
          <w:lang w:val="en-US"/>
        </w:rPr>
        <w:t>“Working Together to Make a Difference for Harrow”</w:t>
      </w:r>
      <w:r w:rsidR="0019703E">
        <w:rPr>
          <w:rFonts w:ascii="Arial" w:hAnsi="Arial" w:cs="Arial"/>
          <w:b/>
          <w:bCs/>
          <w:sz w:val="24"/>
          <w:szCs w:val="24"/>
          <w:lang w:val="en-US"/>
        </w:rPr>
        <w:t xml:space="preserve">. </w:t>
      </w:r>
      <w:r w:rsidRPr="005B2A93">
        <w:rPr>
          <w:rFonts w:ascii="Arial" w:hAnsi="Arial" w:cs="Arial"/>
          <w:sz w:val="24"/>
          <w:szCs w:val="24"/>
        </w:rPr>
        <w:t xml:space="preserve">To meet this vision, there are </w:t>
      </w:r>
      <w:r w:rsidR="00DE4F41">
        <w:rPr>
          <w:rFonts w:ascii="Arial" w:hAnsi="Arial" w:cs="Arial"/>
          <w:sz w:val="24"/>
          <w:szCs w:val="24"/>
        </w:rPr>
        <w:t>three</w:t>
      </w:r>
      <w:r w:rsidRPr="005B2A93">
        <w:rPr>
          <w:rFonts w:ascii="Arial" w:hAnsi="Arial" w:cs="Arial"/>
          <w:sz w:val="24"/>
          <w:szCs w:val="24"/>
        </w:rPr>
        <w:t xml:space="preserve"> corporate priorities that guide how the Council ta</w:t>
      </w:r>
      <w:r w:rsidR="00DE4F41">
        <w:rPr>
          <w:rFonts w:ascii="Arial" w:hAnsi="Arial" w:cs="Arial"/>
          <w:sz w:val="24"/>
          <w:szCs w:val="24"/>
        </w:rPr>
        <w:t>rgets its resources and efforts:</w:t>
      </w:r>
    </w:p>
    <w:p w14:paraId="3F0D9D9D" w14:textId="77777777" w:rsidR="00DE4F41" w:rsidRDefault="00DE4F41" w:rsidP="0070787C">
      <w:pPr>
        <w:pStyle w:val="NoSpacing"/>
        <w:jc w:val="both"/>
        <w:rPr>
          <w:rFonts w:ascii="Arial" w:hAnsi="Arial" w:cs="Arial"/>
          <w:sz w:val="24"/>
          <w:szCs w:val="24"/>
        </w:rPr>
      </w:pPr>
    </w:p>
    <w:p w14:paraId="3F0D9D9E" w14:textId="77777777" w:rsidR="00DE4F41" w:rsidRPr="00DE4F41" w:rsidRDefault="00DE4F41" w:rsidP="0070787C">
      <w:pPr>
        <w:pStyle w:val="NoSpacing"/>
        <w:jc w:val="both"/>
        <w:rPr>
          <w:rFonts w:ascii="Arial" w:hAnsi="Arial" w:cs="Arial"/>
          <w:b/>
          <w:bCs/>
          <w:i/>
          <w:sz w:val="24"/>
          <w:szCs w:val="24"/>
          <w:lang w:val="en" w:eastAsia="en-GB"/>
        </w:rPr>
      </w:pPr>
      <w:r w:rsidRPr="00DE4F41">
        <w:rPr>
          <w:rFonts w:ascii="Arial" w:hAnsi="Arial" w:cs="Arial"/>
          <w:b/>
          <w:bCs/>
          <w:i/>
          <w:sz w:val="24"/>
          <w:szCs w:val="24"/>
          <w:lang w:val="en" w:eastAsia="en-GB"/>
        </w:rPr>
        <w:t>Build a Better Harrow</w:t>
      </w:r>
    </w:p>
    <w:p w14:paraId="3F0D9D9F" w14:textId="77777777" w:rsidR="00DE4F41" w:rsidRPr="00DE4F41" w:rsidRDefault="00DE4F41" w:rsidP="0070787C">
      <w:pPr>
        <w:pStyle w:val="NoSpacing"/>
        <w:jc w:val="both"/>
        <w:rPr>
          <w:rFonts w:ascii="Arial" w:hAnsi="Arial" w:cs="Arial"/>
          <w:sz w:val="24"/>
          <w:szCs w:val="24"/>
        </w:rPr>
      </w:pPr>
      <w:r w:rsidRPr="00DE4F41">
        <w:rPr>
          <w:rFonts w:ascii="Arial" w:hAnsi="Arial" w:cs="Arial"/>
          <w:sz w:val="24"/>
          <w:szCs w:val="24"/>
          <w:lang w:eastAsia="en-GB"/>
        </w:rPr>
        <w:t>Together we are building a better Harrow, for today, and for future generations, creating the places and the opportunities that all our residents deserve: a thriving, modern, inclusive and</w:t>
      </w:r>
      <w:r w:rsidRPr="00DE4F41">
        <w:rPr>
          <w:rFonts w:ascii="Arial" w:hAnsi="Arial" w:cs="Arial"/>
          <w:sz w:val="24"/>
          <w:szCs w:val="24"/>
        </w:rPr>
        <w:t xml:space="preserve"> </w:t>
      </w:r>
      <w:r w:rsidRPr="00DE4F41">
        <w:rPr>
          <w:rFonts w:ascii="Arial" w:hAnsi="Arial" w:cs="Arial"/>
          <w:sz w:val="24"/>
          <w:szCs w:val="24"/>
          <w:lang w:eastAsia="en-GB"/>
        </w:rPr>
        <w:t>vibrant borough that makes Harrow a home to be proud of.</w:t>
      </w:r>
    </w:p>
    <w:p w14:paraId="3F0D9DA0" w14:textId="77777777" w:rsidR="00DE4F41" w:rsidRPr="00DE4F41" w:rsidRDefault="00DE4F41" w:rsidP="0070787C">
      <w:pPr>
        <w:pStyle w:val="NoSpacing"/>
        <w:jc w:val="both"/>
        <w:rPr>
          <w:rFonts w:ascii="Arial" w:hAnsi="Arial" w:cs="Arial"/>
          <w:sz w:val="24"/>
          <w:szCs w:val="24"/>
        </w:rPr>
      </w:pPr>
    </w:p>
    <w:p w14:paraId="3F0D9DA1" w14:textId="77777777" w:rsidR="00DE4F41" w:rsidRPr="00DE4F41" w:rsidRDefault="00DE4F41" w:rsidP="0070787C">
      <w:pPr>
        <w:pStyle w:val="NoSpacing"/>
        <w:jc w:val="both"/>
        <w:rPr>
          <w:rFonts w:ascii="Arial" w:hAnsi="Arial" w:cs="Arial"/>
          <w:b/>
          <w:bCs/>
          <w:i/>
          <w:sz w:val="24"/>
          <w:szCs w:val="24"/>
          <w:lang w:val="en" w:eastAsia="en-GB"/>
        </w:rPr>
      </w:pPr>
      <w:r w:rsidRPr="00DE4F41">
        <w:rPr>
          <w:rFonts w:ascii="Arial" w:hAnsi="Arial" w:cs="Arial"/>
          <w:b/>
          <w:bCs/>
          <w:i/>
          <w:sz w:val="24"/>
          <w:szCs w:val="24"/>
          <w:lang w:val="en" w:eastAsia="en-GB"/>
        </w:rPr>
        <w:t>Be More Business-like and Business Friendly</w:t>
      </w:r>
    </w:p>
    <w:p w14:paraId="3F0D9DA2" w14:textId="77777777" w:rsidR="00DE4F41" w:rsidRPr="00DE4F41" w:rsidRDefault="00DE4F41" w:rsidP="0070787C">
      <w:pPr>
        <w:pStyle w:val="NoSpacing"/>
        <w:jc w:val="both"/>
        <w:rPr>
          <w:rFonts w:ascii="Arial" w:hAnsi="Arial" w:cs="Arial"/>
          <w:sz w:val="24"/>
          <w:szCs w:val="24"/>
          <w:lang w:eastAsia="en-GB"/>
        </w:rPr>
      </w:pPr>
      <w:r w:rsidRPr="00DE4F41">
        <w:rPr>
          <w:rFonts w:ascii="Arial" w:hAnsi="Arial" w:cs="Arial"/>
          <w:sz w:val="24"/>
          <w:szCs w:val="24"/>
          <w:lang w:eastAsia="en-GB"/>
        </w:rPr>
        <w:t>We want to be seen as a council that understands the needs of local businesses, and supports them to grow and be successful. We also want to be seen as a well-run council, with our residents supporting our growing set of business ventures. We want our commercial services to be profitable and used by local residents and businesses, so the profits can then be re-invested back into those services most valued by our residents.</w:t>
      </w:r>
    </w:p>
    <w:p w14:paraId="3F0D9DA3" w14:textId="77777777" w:rsidR="00DE4F41" w:rsidRPr="00DE4F41" w:rsidRDefault="00DE4F41" w:rsidP="0070787C">
      <w:pPr>
        <w:pStyle w:val="NoSpacing"/>
        <w:jc w:val="both"/>
        <w:rPr>
          <w:rFonts w:ascii="Arial" w:hAnsi="Arial" w:cs="Arial"/>
          <w:sz w:val="24"/>
          <w:szCs w:val="24"/>
          <w:lang w:eastAsia="en-GB"/>
        </w:rPr>
      </w:pPr>
    </w:p>
    <w:p w14:paraId="3F0D9DA4" w14:textId="77777777" w:rsidR="00DE4F41" w:rsidRPr="00DE4F41" w:rsidRDefault="00DE4F41" w:rsidP="0070787C">
      <w:pPr>
        <w:pStyle w:val="NoSpacing"/>
        <w:jc w:val="both"/>
        <w:rPr>
          <w:rFonts w:ascii="Arial" w:hAnsi="Arial" w:cs="Arial"/>
          <w:b/>
          <w:bCs/>
          <w:i/>
          <w:sz w:val="24"/>
          <w:szCs w:val="24"/>
          <w:lang w:val="en" w:eastAsia="en-GB"/>
        </w:rPr>
      </w:pPr>
      <w:r w:rsidRPr="00DE4F41">
        <w:rPr>
          <w:rFonts w:ascii="Arial" w:hAnsi="Arial" w:cs="Arial"/>
          <w:b/>
          <w:bCs/>
          <w:i/>
          <w:sz w:val="24"/>
          <w:szCs w:val="24"/>
          <w:lang w:val="en" w:eastAsia="en-GB"/>
        </w:rPr>
        <w:t>Protect the Most Vulnerable and Support Families</w:t>
      </w:r>
    </w:p>
    <w:p w14:paraId="3F0D9DA5" w14:textId="77777777" w:rsidR="00DE4F41" w:rsidRPr="00DE4F41" w:rsidRDefault="00DE4F41" w:rsidP="0070787C">
      <w:pPr>
        <w:pStyle w:val="NoSpacing"/>
        <w:jc w:val="both"/>
        <w:rPr>
          <w:rFonts w:ascii="Arial" w:hAnsi="Arial" w:cs="Arial"/>
          <w:sz w:val="24"/>
          <w:szCs w:val="24"/>
          <w:lang w:eastAsia="en-GB"/>
        </w:rPr>
      </w:pPr>
      <w:r w:rsidRPr="00DE4F41">
        <w:rPr>
          <w:rFonts w:ascii="Arial" w:hAnsi="Arial" w:cs="Arial"/>
          <w:sz w:val="24"/>
          <w:szCs w:val="24"/>
          <w:lang w:eastAsia="en-GB"/>
        </w:rPr>
        <w:t>We want to make sure that those who are least able to look after themselves are properly cared for and supported. We want to safeguard adults and children from abuse and neglect, keep them safe and ensure they have access to opportunities and a good quality of life.</w:t>
      </w:r>
    </w:p>
    <w:p w14:paraId="3F0D9DA6" w14:textId="77777777" w:rsidR="00DE4F41" w:rsidRDefault="00DE4F41" w:rsidP="0070787C">
      <w:pPr>
        <w:pStyle w:val="NoSpacing"/>
        <w:jc w:val="both"/>
        <w:rPr>
          <w:rFonts w:ascii="Swiss721BT-Roman" w:hAnsi="Swiss721BT-Roman" w:cs="Swiss721BT-Roman"/>
          <w:sz w:val="21"/>
          <w:szCs w:val="21"/>
          <w:lang w:eastAsia="en-GB"/>
        </w:rPr>
      </w:pPr>
    </w:p>
    <w:p w14:paraId="3F0D9DA7" w14:textId="544A222E" w:rsidR="00822E33" w:rsidRPr="004F44C5" w:rsidRDefault="004F44C5" w:rsidP="004F44C5">
      <w:pPr>
        <w:rPr>
          <w:bCs/>
          <w:lang w:eastAsia="en-GB"/>
        </w:rPr>
      </w:pPr>
      <w:r w:rsidRPr="004F44C5">
        <w:t>We have adopted a new Equalities vision</w:t>
      </w:r>
      <w:r>
        <w:t>, which was adopted by Cabinet. This vision is “</w:t>
      </w:r>
      <w:r w:rsidRPr="004F44C5">
        <w:rPr>
          <w:bCs/>
          <w:i/>
          <w:lang w:eastAsia="en-GB"/>
        </w:rPr>
        <w:t>A Proud, Fair &amp; Cohesive Harrow, a Great Place to Live, Work &amp; Visit</w:t>
      </w:r>
      <w:r>
        <w:rPr>
          <w:bCs/>
          <w:lang w:eastAsia="en-GB"/>
        </w:rPr>
        <w:t>”</w:t>
      </w:r>
      <w:r w:rsidRPr="004F44C5">
        <w:rPr>
          <w:bCs/>
          <w:lang w:eastAsia="en-GB"/>
        </w:rPr>
        <w:t xml:space="preserve">. In order to achieve this vision we have </w:t>
      </w:r>
      <w:r w:rsidR="00822E33" w:rsidRPr="004F44C5">
        <w:t xml:space="preserve">three Corporate Equality Objectives as set out in the ‘Harrow Council Corporate Plan 2015-19, </w:t>
      </w:r>
      <w:r w:rsidR="0019703E" w:rsidRPr="004F44C5">
        <w:t>which are:</w:t>
      </w:r>
    </w:p>
    <w:p w14:paraId="3F0D9DA8" w14:textId="77777777" w:rsidR="0019703E" w:rsidRDefault="0019703E" w:rsidP="0070787C">
      <w:pPr>
        <w:pStyle w:val="NoSpacing"/>
        <w:jc w:val="both"/>
        <w:rPr>
          <w:rFonts w:ascii="Arial" w:hAnsi="Arial" w:cs="Arial"/>
          <w:sz w:val="24"/>
          <w:szCs w:val="24"/>
        </w:rPr>
      </w:pPr>
    </w:p>
    <w:p w14:paraId="3F0D9DA9" w14:textId="77777777" w:rsidR="0019703E" w:rsidRPr="0019703E" w:rsidRDefault="0019703E" w:rsidP="000B6562">
      <w:pPr>
        <w:pStyle w:val="ListParagraph"/>
        <w:numPr>
          <w:ilvl w:val="0"/>
          <w:numId w:val="21"/>
        </w:numPr>
        <w:jc w:val="both"/>
      </w:pPr>
      <w:r w:rsidRPr="0019703E">
        <w:t>An inclusive workforce that feels valued, respected and reflects our community</w:t>
      </w:r>
    </w:p>
    <w:p w14:paraId="3F0D9DAA" w14:textId="77777777" w:rsidR="00822E33" w:rsidRPr="0019703E" w:rsidRDefault="00822E33" w:rsidP="000B6562">
      <w:pPr>
        <w:pStyle w:val="NoSpacing"/>
        <w:jc w:val="both"/>
        <w:rPr>
          <w:rFonts w:ascii="Arial" w:hAnsi="Arial" w:cs="Arial"/>
          <w:sz w:val="24"/>
          <w:szCs w:val="24"/>
        </w:rPr>
      </w:pPr>
    </w:p>
    <w:p w14:paraId="3F0D9DAB" w14:textId="77777777" w:rsidR="0019703E" w:rsidRPr="0019703E" w:rsidRDefault="0019703E" w:rsidP="000B6562">
      <w:pPr>
        <w:pStyle w:val="ListParagraph"/>
        <w:numPr>
          <w:ilvl w:val="0"/>
          <w:numId w:val="21"/>
        </w:numPr>
        <w:jc w:val="both"/>
      </w:pPr>
      <w:r w:rsidRPr="0019703E">
        <w:t>An improved understanding of our communities to ensure that services are fair, equitable and accessible to all and reduce inequality</w:t>
      </w:r>
    </w:p>
    <w:p w14:paraId="3F0D9DAC" w14:textId="77777777" w:rsidR="00822E33" w:rsidRPr="0019703E" w:rsidRDefault="00822E33" w:rsidP="000B6562">
      <w:pPr>
        <w:pStyle w:val="NoSpacing"/>
        <w:jc w:val="both"/>
        <w:rPr>
          <w:rFonts w:ascii="Swiss721BT-Roman" w:hAnsi="Swiss721BT-Roman" w:cs="Swiss721BT-Roman"/>
          <w:sz w:val="24"/>
          <w:szCs w:val="24"/>
          <w:lang w:eastAsia="en-GB"/>
        </w:rPr>
      </w:pPr>
    </w:p>
    <w:p w14:paraId="3F0D9DAD" w14:textId="77777777" w:rsidR="0019703E" w:rsidRPr="0019703E" w:rsidRDefault="0019703E" w:rsidP="000B6562">
      <w:pPr>
        <w:pStyle w:val="ListParagraph"/>
        <w:numPr>
          <w:ilvl w:val="0"/>
          <w:numId w:val="21"/>
        </w:numPr>
        <w:jc w:val="both"/>
      </w:pPr>
      <w:r w:rsidRPr="0019703E">
        <w:t>Promote and celebrate the diversity of our borough and foster community cohesion</w:t>
      </w:r>
    </w:p>
    <w:p w14:paraId="3F0D9DAE" w14:textId="77777777" w:rsidR="00822E33" w:rsidRPr="0019703E" w:rsidRDefault="00822E33" w:rsidP="0070787C">
      <w:pPr>
        <w:pStyle w:val="NoSpacing"/>
        <w:jc w:val="both"/>
        <w:rPr>
          <w:rFonts w:ascii="Swiss721BT-Roman" w:hAnsi="Swiss721BT-Roman" w:cs="Swiss721BT-Roman"/>
          <w:sz w:val="21"/>
          <w:szCs w:val="21"/>
          <w:lang w:eastAsia="en-GB"/>
        </w:rPr>
      </w:pPr>
    </w:p>
    <w:p w14:paraId="3F0D9DAF" w14:textId="77777777" w:rsidR="008431D2" w:rsidRPr="005B2A93" w:rsidRDefault="008431D2" w:rsidP="008431D2">
      <w:pPr>
        <w:jc w:val="both"/>
        <w:rPr>
          <w:b/>
          <w:color w:val="3E007A"/>
          <w:sz w:val="28"/>
        </w:rPr>
      </w:pPr>
      <w:r w:rsidRPr="005B2A93">
        <w:rPr>
          <w:b/>
          <w:color w:val="3E007A"/>
          <w:sz w:val="28"/>
        </w:rPr>
        <w:t>Our Commitment</w:t>
      </w:r>
    </w:p>
    <w:p w14:paraId="3F0D9DB0" w14:textId="77777777" w:rsidR="008431D2" w:rsidRPr="005B2A93" w:rsidRDefault="008431D2" w:rsidP="008431D2">
      <w:pPr>
        <w:jc w:val="both"/>
        <w:rPr>
          <w:lang w:val="en-US"/>
        </w:rPr>
      </w:pPr>
    </w:p>
    <w:p w14:paraId="3F0D9DB1" w14:textId="77777777" w:rsidR="008431D2" w:rsidRDefault="008431D2" w:rsidP="008431D2">
      <w:pPr>
        <w:jc w:val="both"/>
        <w:rPr>
          <w:lang w:val="en-US"/>
        </w:rPr>
      </w:pPr>
      <w:r w:rsidRPr="005B2A93">
        <w:rPr>
          <w:lang w:val="en-US"/>
        </w:rPr>
        <w:t xml:space="preserve">Equality is about describing a vision for the area that is built on </w:t>
      </w:r>
      <w:proofErr w:type="spellStart"/>
      <w:r w:rsidRPr="005B2A93">
        <w:rPr>
          <w:lang w:val="en-US"/>
        </w:rPr>
        <w:t>recognising</w:t>
      </w:r>
      <w:proofErr w:type="spellEnd"/>
      <w:r w:rsidRPr="005B2A93">
        <w:rPr>
          <w:lang w:val="en-US"/>
        </w:rPr>
        <w:t xml:space="preserve"> the needs of every local community, promoting inclusion and cohesion, fairness and justice.  As a community leader, we will continue to work in partnership with the public, voluntary and private sectors to ensure we achieve this vision for our borough.</w:t>
      </w:r>
    </w:p>
    <w:p w14:paraId="768322FF" w14:textId="77777777" w:rsidR="00691B93" w:rsidRPr="008431D2" w:rsidRDefault="00691B93" w:rsidP="008431D2">
      <w:pPr>
        <w:jc w:val="both"/>
        <w:rPr>
          <w:lang w:val="en-US"/>
        </w:rPr>
      </w:pPr>
    </w:p>
    <w:p w14:paraId="3F0D9DB3" w14:textId="77777777" w:rsidR="008431D2" w:rsidRPr="005B2A93" w:rsidRDefault="008431D2"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r w:rsidRPr="005B2A93">
        <w:rPr>
          <w:color w:val="000000"/>
          <w:lang w:val="en-US"/>
        </w:rPr>
        <w:t xml:space="preserve">As an employer, we are committed to employing a diverse workforce, to help us to understand and relate to the community we serve.  Through our recruitment policies and practices, we will aim to improve on our record and explore further initiatives and opportunities to encourage applicants from all sections of the community to consider joining us. </w:t>
      </w:r>
    </w:p>
    <w:p w14:paraId="3F0D9DB4" w14:textId="77777777" w:rsidR="008431D2" w:rsidRPr="005B2A93" w:rsidRDefault="008431D2"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p>
    <w:p w14:paraId="3F0D9DB5" w14:textId="77777777" w:rsidR="008431D2" w:rsidRPr="005B2A93" w:rsidRDefault="008431D2"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r w:rsidRPr="005B2A93">
        <w:rPr>
          <w:color w:val="000000"/>
          <w:lang w:val="en-US"/>
        </w:rPr>
        <w:t>As a service provider, we are committed to ensuring our services are open, fair and accessible by taking into consideration the needs and requirements of our diverse community and service users.  We will continue to improve our services through a comprehensive Equality Impact Assessment (</w:t>
      </w:r>
      <w:proofErr w:type="spellStart"/>
      <w:r w:rsidRPr="005B2A93">
        <w:rPr>
          <w:color w:val="000000"/>
          <w:lang w:val="en-US"/>
        </w:rPr>
        <w:t>EqIA</w:t>
      </w:r>
      <w:proofErr w:type="spellEnd"/>
      <w:r w:rsidRPr="005B2A93">
        <w:rPr>
          <w:color w:val="000000"/>
          <w:lang w:val="en-US"/>
        </w:rPr>
        <w:t xml:space="preserve">) process, engaging with and listening to our communities and service users. </w:t>
      </w:r>
    </w:p>
    <w:p w14:paraId="3F0D9DB6" w14:textId="77777777" w:rsidR="008431D2" w:rsidRPr="005B2A93" w:rsidRDefault="008431D2" w:rsidP="00843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lang w:val="en-US"/>
        </w:rPr>
      </w:pPr>
    </w:p>
    <w:p w14:paraId="3F0D9DB7" w14:textId="77777777" w:rsidR="008431D2" w:rsidRDefault="008431D2" w:rsidP="008431D2">
      <w:pPr>
        <w:ind w:right="260"/>
        <w:jc w:val="both"/>
        <w:rPr>
          <w:lang w:val="en-US"/>
        </w:rPr>
      </w:pPr>
      <w:r w:rsidRPr="005B2A93">
        <w:rPr>
          <w:lang w:val="en-US"/>
        </w:rPr>
        <w:t xml:space="preserve">As a procurer of goods and services, we will continue to ensure our commissioning processes are fair and equitable and that service providers delivering a service on our behalf share our commitment to equality and diversity. </w:t>
      </w:r>
    </w:p>
    <w:p w14:paraId="3F0D9DB8" w14:textId="77777777" w:rsidR="008431D2" w:rsidRDefault="008431D2" w:rsidP="008431D2">
      <w:pPr>
        <w:ind w:right="260"/>
        <w:jc w:val="both"/>
        <w:rPr>
          <w:lang w:val="en-US"/>
        </w:rPr>
      </w:pPr>
    </w:p>
    <w:p w14:paraId="3F0D9DB9" w14:textId="77777777" w:rsidR="005B2A93" w:rsidRPr="005B2A93" w:rsidRDefault="005B2A93" w:rsidP="008431D2">
      <w:pPr>
        <w:ind w:right="260"/>
        <w:jc w:val="both"/>
        <w:rPr>
          <w:b/>
          <w:color w:val="7030A0"/>
          <w:sz w:val="28"/>
        </w:rPr>
      </w:pPr>
      <w:r w:rsidRPr="005B2A93">
        <w:rPr>
          <w:b/>
          <w:color w:val="7030A0"/>
          <w:sz w:val="28"/>
        </w:rPr>
        <w:t>Reviewing Progress &amp; Setting Priorities</w:t>
      </w:r>
    </w:p>
    <w:p w14:paraId="3F0D9DBA" w14:textId="77777777" w:rsidR="005B2A93" w:rsidRPr="005B2A93" w:rsidRDefault="005B2A93" w:rsidP="0070787C">
      <w:pPr>
        <w:ind w:right="260"/>
        <w:jc w:val="both"/>
        <w:rPr>
          <w:color w:val="7030A0"/>
        </w:rPr>
      </w:pPr>
    </w:p>
    <w:p w14:paraId="3F0D9DBB" w14:textId="77777777" w:rsidR="005B2A93" w:rsidRPr="005B2A93" w:rsidRDefault="005B2A93" w:rsidP="0070787C">
      <w:pPr>
        <w:jc w:val="both"/>
      </w:pPr>
      <w:r w:rsidRPr="005B2A93">
        <w:t>The following section of this report outlines Harrow Council’s progress in 2016/17 against the Corporate Equality Objectives. As well as reporting our overall performance (Appendix 1) it includes a number of case studies to demonstrate how we have used monitoring data to identify a need, engage with our communities and address the needs through initiatives and projects to improve our services.</w:t>
      </w:r>
    </w:p>
    <w:p w14:paraId="3F0D9DBC" w14:textId="77777777" w:rsidR="005B2A93" w:rsidRPr="005B2A93" w:rsidRDefault="005B2A93" w:rsidP="0070787C">
      <w:pPr>
        <w:jc w:val="both"/>
      </w:pPr>
    </w:p>
    <w:p w14:paraId="3F0D9DBD" w14:textId="77777777" w:rsidR="005B2A93" w:rsidRPr="000B6562" w:rsidRDefault="005B2A93" w:rsidP="0070787C">
      <w:pPr>
        <w:jc w:val="both"/>
      </w:pPr>
      <w:r w:rsidRPr="005B2A93">
        <w:t>One of the ways progress can be measured is whether we achieved the performance targets that we set ourselves. The following section provides an overview of how many of the performance indicators asso</w:t>
      </w:r>
      <w:r w:rsidRPr="000B6562">
        <w:t>ciated with each Corporate Equality Objective were Green, Amber and Red, using the following criteria:</w:t>
      </w:r>
    </w:p>
    <w:p w14:paraId="3F0D9DBE" w14:textId="77777777" w:rsidR="005B2A93" w:rsidRPr="000B6562" w:rsidRDefault="005B2A93" w:rsidP="0070787C">
      <w:pPr>
        <w:jc w:val="both"/>
      </w:pPr>
    </w:p>
    <w:p w14:paraId="3F0D9DBF" w14:textId="77777777" w:rsidR="005B2A93" w:rsidRPr="000B6562" w:rsidRDefault="005B2A93" w:rsidP="0070787C">
      <w:pPr>
        <w:jc w:val="both"/>
        <w:rPr>
          <w:b/>
        </w:rPr>
      </w:pPr>
      <w:r w:rsidRPr="000B6562">
        <w:rPr>
          <w:b/>
        </w:rPr>
        <w:t xml:space="preserve">High Green: </w:t>
      </w:r>
      <w:r w:rsidRPr="000B6562">
        <w:rPr>
          <w:b/>
        </w:rPr>
        <w:tab/>
      </w:r>
      <w:r w:rsidRPr="000B6562">
        <w:t>Target exceeded by more than 5%</w:t>
      </w:r>
    </w:p>
    <w:p w14:paraId="3F0D9DC0" w14:textId="23722A1E" w:rsidR="005B2A93" w:rsidRPr="000B6562" w:rsidRDefault="005B2A93" w:rsidP="0070787C">
      <w:pPr>
        <w:jc w:val="both"/>
        <w:rPr>
          <w:b/>
        </w:rPr>
      </w:pPr>
      <w:r w:rsidRPr="000B6562">
        <w:rPr>
          <w:b/>
        </w:rPr>
        <w:t xml:space="preserve">Low Green: </w:t>
      </w:r>
      <w:r w:rsidRPr="000B6562">
        <w:rPr>
          <w:b/>
        </w:rPr>
        <w:tab/>
      </w:r>
      <w:r w:rsidR="00B90C44">
        <w:rPr>
          <w:b/>
        </w:rPr>
        <w:tab/>
      </w:r>
      <w:r w:rsidRPr="000B6562">
        <w:t>Target Met</w:t>
      </w:r>
    </w:p>
    <w:p w14:paraId="3F0D9DC1" w14:textId="77777777" w:rsidR="005B2A93" w:rsidRPr="000B6562" w:rsidRDefault="005B2A93" w:rsidP="0070787C">
      <w:pPr>
        <w:jc w:val="both"/>
        <w:rPr>
          <w:b/>
        </w:rPr>
      </w:pPr>
      <w:r w:rsidRPr="000B6562">
        <w:rPr>
          <w:b/>
        </w:rPr>
        <w:t xml:space="preserve">Amber: </w:t>
      </w:r>
      <w:r w:rsidRPr="000B6562">
        <w:rPr>
          <w:b/>
        </w:rPr>
        <w:tab/>
      </w:r>
      <w:r w:rsidRPr="000B6562">
        <w:rPr>
          <w:b/>
        </w:rPr>
        <w:tab/>
      </w:r>
      <w:r w:rsidRPr="000B6562">
        <w:t>Target missed by no more than 5%</w:t>
      </w:r>
    </w:p>
    <w:p w14:paraId="3F0D9DC2" w14:textId="77777777" w:rsidR="005B2A93" w:rsidRPr="000B6562" w:rsidRDefault="005B2A93" w:rsidP="0070787C">
      <w:pPr>
        <w:jc w:val="both"/>
        <w:rPr>
          <w:b/>
        </w:rPr>
      </w:pPr>
      <w:r w:rsidRPr="000B6562">
        <w:rPr>
          <w:b/>
        </w:rPr>
        <w:t>Low Red:</w:t>
      </w:r>
      <w:r w:rsidRPr="000B6562">
        <w:rPr>
          <w:b/>
        </w:rPr>
        <w:tab/>
      </w:r>
      <w:r w:rsidRPr="000B6562">
        <w:rPr>
          <w:b/>
        </w:rPr>
        <w:tab/>
      </w:r>
      <w:r w:rsidRPr="000B6562">
        <w:t>Target missed by 5-10%</w:t>
      </w:r>
    </w:p>
    <w:p w14:paraId="3F0D9DC3" w14:textId="77777777" w:rsidR="005B2A93" w:rsidRPr="000B6562" w:rsidRDefault="005B2A93" w:rsidP="0070787C">
      <w:pPr>
        <w:jc w:val="both"/>
        <w:rPr>
          <w:b/>
        </w:rPr>
      </w:pPr>
      <w:r w:rsidRPr="000B6562">
        <w:rPr>
          <w:b/>
        </w:rPr>
        <w:t>High Red:</w:t>
      </w:r>
      <w:r w:rsidRPr="000B6562">
        <w:rPr>
          <w:b/>
        </w:rPr>
        <w:tab/>
      </w:r>
      <w:r w:rsidRPr="000B6562">
        <w:rPr>
          <w:b/>
        </w:rPr>
        <w:tab/>
      </w:r>
      <w:r w:rsidRPr="000B6562">
        <w:t>Target missed by over 10%</w:t>
      </w:r>
    </w:p>
    <w:p w14:paraId="3F0D9DC4" w14:textId="77777777" w:rsidR="005B2A93" w:rsidRPr="000B6562" w:rsidRDefault="005B2A93" w:rsidP="0070787C">
      <w:pPr>
        <w:ind w:right="-315"/>
        <w:jc w:val="both"/>
      </w:pPr>
    </w:p>
    <w:p w14:paraId="3F0D9DC5" w14:textId="77777777" w:rsidR="005B2A93" w:rsidRPr="000B6562" w:rsidRDefault="005B2A93" w:rsidP="0070787C">
      <w:pPr>
        <w:jc w:val="both"/>
      </w:pPr>
      <w:r w:rsidRPr="000B6562">
        <w:t>Each Equality Objective has been given an overall ‘RAG’ status using the following criteria:</w:t>
      </w:r>
    </w:p>
    <w:p w14:paraId="3F0D9DC6" w14:textId="77777777" w:rsidR="005B2A93" w:rsidRPr="000B6562" w:rsidRDefault="005B2A93" w:rsidP="0070787C">
      <w:pPr>
        <w:jc w:val="both"/>
      </w:pPr>
    </w:p>
    <w:p w14:paraId="3F0D9DC7" w14:textId="77777777" w:rsidR="005B2A93" w:rsidRPr="000B6562" w:rsidRDefault="005B2A93" w:rsidP="0070787C">
      <w:pPr>
        <w:jc w:val="both"/>
      </w:pPr>
      <w:r w:rsidRPr="000B6562">
        <w:t>If two thirds of the indicators within a priority are a particular status then this will determine its status. If not, then the priority status will become Amber.</w:t>
      </w:r>
    </w:p>
    <w:p w14:paraId="3F0D9DC8" w14:textId="77777777" w:rsidR="005B2A93" w:rsidRPr="000B6562" w:rsidRDefault="005B2A93" w:rsidP="0070787C">
      <w:pPr>
        <w:jc w:val="both"/>
      </w:pPr>
    </w:p>
    <w:p w14:paraId="3F0D9DC9" w14:textId="77777777" w:rsidR="005B2A93" w:rsidRPr="000B6562" w:rsidRDefault="005B2A93" w:rsidP="0070787C">
      <w:pPr>
        <w:jc w:val="both"/>
        <w:rPr>
          <w:b/>
          <w:sz w:val="28"/>
        </w:rPr>
      </w:pPr>
      <w:r w:rsidRPr="000B6562">
        <w:rPr>
          <w:b/>
          <w:sz w:val="28"/>
        </w:rPr>
        <w:t>Objective</w:t>
      </w:r>
      <w:r w:rsidR="00617300" w:rsidRPr="000B6562">
        <w:rPr>
          <w:b/>
          <w:sz w:val="28"/>
        </w:rPr>
        <w:t xml:space="preserve"> 1</w:t>
      </w:r>
      <w:r w:rsidRPr="000B6562">
        <w:rPr>
          <w:b/>
          <w:sz w:val="28"/>
        </w:rPr>
        <w:t>: An inclusive workforce that feels valued, respected and reflects our community</w:t>
      </w:r>
    </w:p>
    <w:p w14:paraId="3F0D9DCA" w14:textId="77777777" w:rsidR="007B5D1E" w:rsidRPr="000B6562" w:rsidRDefault="007B5D1E" w:rsidP="0070787C">
      <w:pPr>
        <w:jc w:val="both"/>
        <w:rPr>
          <w:b/>
          <w:sz w:val="28"/>
        </w:rPr>
      </w:pPr>
    </w:p>
    <w:tbl>
      <w:tblPr>
        <w:tblW w:w="2992" w:type="dxa"/>
        <w:tblInd w:w="93" w:type="dxa"/>
        <w:tblLook w:val="04A0" w:firstRow="1" w:lastRow="0" w:firstColumn="1" w:lastColumn="0" w:noHBand="0" w:noVBand="1"/>
      </w:tblPr>
      <w:tblGrid>
        <w:gridCol w:w="2000"/>
        <w:gridCol w:w="992"/>
      </w:tblGrid>
      <w:tr w:rsidR="000B6562" w:rsidRPr="000B6562" w14:paraId="3F0D9DCD" w14:textId="77777777" w:rsidTr="0099695A">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3F0D9DCB" w14:textId="77777777" w:rsidR="007B5D1E" w:rsidRPr="000B6562" w:rsidRDefault="007B5D1E" w:rsidP="0070787C">
            <w:pPr>
              <w:rPr>
                <w:sz w:val="22"/>
                <w:szCs w:val="22"/>
                <w:lang w:eastAsia="en-GB"/>
              </w:rPr>
            </w:pPr>
            <w:r w:rsidRPr="000B6562">
              <w:rPr>
                <w:sz w:val="22"/>
                <w:szCs w:val="22"/>
                <w:lang w:eastAsia="en-GB"/>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tcPr>
          <w:p w14:paraId="3F0D9DCC" w14:textId="77777777" w:rsidR="007B5D1E" w:rsidRPr="000B6562" w:rsidRDefault="002273E8" w:rsidP="0070787C">
            <w:pPr>
              <w:jc w:val="center"/>
              <w:rPr>
                <w:sz w:val="22"/>
                <w:szCs w:val="22"/>
                <w:lang w:eastAsia="en-GB"/>
              </w:rPr>
            </w:pPr>
            <w:r w:rsidRPr="000B6562">
              <w:rPr>
                <w:sz w:val="22"/>
                <w:szCs w:val="22"/>
                <w:lang w:eastAsia="en-GB"/>
              </w:rPr>
              <w:t>3</w:t>
            </w:r>
          </w:p>
        </w:tc>
      </w:tr>
      <w:tr w:rsidR="000B6562" w:rsidRPr="000B6562" w14:paraId="3F0D9DD0" w14:textId="77777777" w:rsidTr="0099695A">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3F0D9DCE" w14:textId="77777777" w:rsidR="007B5D1E" w:rsidRPr="000B6562" w:rsidRDefault="007B5D1E" w:rsidP="0070787C">
            <w:pPr>
              <w:rPr>
                <w:sz w:val="22"/>
                <w:szCs w:val="22"/>
                <w:lang w:eastAsia="en-GB"/>
              </w:rPr>
            </w:pPr>
            <w:r w:rsidRPr="000B6562">
              <w:rPr>
                <w:sz w:val="22"/>
                <w:szCs w:val="22"/>
                <w:lang w:eastAsia="en-GB"/>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tcPr>
          <w:p w14:paraId="3F0D9DCF" w14:textId="77777777" w:rsidR="007B5D1E" w:rsidRPr="000B6562" w:rsidRDefault="002273E8" w:rsidP="0070787C">
            <w:pPr>
              <w:jc w:val="center"/>
              <w:rPr>
                <w:sz w:val="22"/>
                <w:szCs w:val="22"/>
                <w:lang w:eastAsia="en-GB"/>
              </w:rPr>
            </w:pPr>
            <w:r w:rsidRPr="000B6562">
              <w:rPr>
                <w:sz w:val="22"/>
                <w:szCs w:val="22"/>
                <w:lang w:eastAsia="en-GB"/>
              </w:rPr>
              <w:t>2</w:t>
            </w:r>
          </w:p>
        </w:tc>
      </w:tr>
      <w:tr w:rsidR="000B6562" w:rsidRPr="000B6562" w14:paraId="3F0D9DD3" w14:textId="77777777" w:rsidTr="0099695A">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F0D9DD1" w14:textId="77777777" w:rsidR="007B5D1E" w:rsidRPr="000B6562" w:rsidRDefault="007B5D1E" w:rsidP="0070787C">
            <w:pPr>
              <w:rPr>
                <w:sz w:val="22"/>
                <w:szCs w:val="22"/>
                <w:lang w:eastAsia="en-GB"/>
              </w:rPr>
            </w:pPr>
            <w:r w:rsidRPr="000B6562">
              <w:rPr>
                <w:sz w:val="22"/>
                <w:szCs w:val="22"/>
                <w:lang w:eastAsia="en-GB"/>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tcPr>
          <w:p w14:paraId="3F0D9DD2" w14:textId="77777777" w:rsidR="007B5D1E" w:rsidRPr="000B6562" w:rsidRDefault="002273E8" w:rsidP="0070787C">
            <w:pPr>
              <w:jc w:val="center"/>
              <w:rPr>
                <w:sz w:val="22"/>
                <w:szCs w:val="22"/>
                <w:lang w:eastAsia="en-GB"/>
              </w:rPr>
            </w:pPr>
            <w:r w:rsidRPr="000B6562">
              <w:rPr>
                <w:sz w:val="22"/>
                <w:szCs w:val="22"/>
                <w:lang w:eastAsia="en-GB"/>
              </w:rPr>
              <w:t>4</w:t>
            </w:r>
          </w:p>
        </w:tc>
      </w:tr>
      <w:tr w:rsidR="000B6562" w:rsidRPr="000B6562" w14:paraId="3F0D9DD5" w14:textId="77777777" w:rsidTr="0099695A">
        <w:trPr>
          <w:trHeight w:val="155"/>
        </w:trPr>
        <w:tc>
          <w:tcPr>
            <w:tcW w:w="2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D9DD4" w14:textId="77777777" w:rsidR="007B5D1E" w:rsidRPr="000B6562" w:rsidRDefault="007B5D1E" w:rsidP="0070787C">
            <w:pPr>
              <w:rPr>
                <w:sz w:val="22"/>
                <w:szCs w:val="22"/>
                <w:lang w:eastAsia="en-GB"/>
              </w:rPr>
            </w:pPr>
            <w:r w:rsidRPr="000B6562">
              <w:rPr>
                <w:sz w:val="22"/>
                <w:szCs w:val="22"/>
                <w:lang w:eastAsia="en-GB"/>
              </w:rPr>
              <w:t> </w:t>
            </w:r>
          </w:p>
        </w:tc>
      </w:tr>
      <w:tr w:rsidR="000B6562" w:rsidRPr="000B6562" w14:paraId="3F0D9DD8" w14:textId="77777777" w:rsidTr="0099695A">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3F0D9DD6" w14:textId="77777777" w:rsidR="007B5D1E" w:rsidRPr="000B6562" w:rsidRDefault="007B5D1E" w:rsidP="0070787C">
            <w:pPr>
              <w:rPr>
                <w:sz w:val="22"/>
                <w:szCs w:val="22"/>
                <w:lang w:eastAsia="en-GB"/>
              </w:rPr>
            </w:pPr>
            <w:r w:rsidRPr="000B6562">
              <w:rPr>
                <w:sz w:val="22"/>
                <w:szCs w:val="22"/>
                <w:lang w:eastAsia="en-GB"/>
              </w:rPr>
              <w:t>Overall Status</w:t>
            </w:r>
          </w:p>
        </w:tc>
        <w:tc>
          <w:tcPr>
            <w:tcW w:w="992" w:type="dxa"/>
            <w:tcBorders>
              <w:top w:val="nil"/>
              <w:left w:val="nil"/>
              <w:bottom w:val="single" w:sz="4" w:space="0" w:color="auto"/>
              <w:right w:val="single" w:sz="4" w:space="0" w:color="auto"/>
            </w:tcBorders>
            <w:shd w:val="clear" w:color="auto" w:fill="auto"/>
            <w:noWrap/>
            <w:vAlign w:val="bottom"/>
            <w:hideMark/>
          </w:tcPr>
          <w:p w14:paraId="3F0D9DD7" w14:textId="77777777" w:rsidR="007B5D1E" w:rsidRPr="000B6562" w:rsidRDefault="002F02EB" w:rsidP="0070787C">
            <w:pPr>
              <w:jc w:val="center"/>
              <w:rPr>
                <w:b/>
                <w:sz w:val="22"/>
                <w:szCs w:val="22"/>
                <w:lang w:eastAsia="en-GB"/>
              </w:rPr>
            </w:pPr>
            <w:r>
              <w:rPr>
                <w:b/>
                <w:sz w:val="22"/>
                <w:szCs w:val="22"/>
                <w:lang w:eastAsia="en-GB"/>
              </w:rPr>
              <w:t>A</w:t>
            </w:r>
          </w:p>
        </w:tc>
      </w:tr>
    </w:tbl>
    <w:p w14:paraId="3F0D9DD9" w14:textId="77777777" w:rsidR="007B5D1E" w:rsidRPr="000B6562" w:rsidRDefault="007B5D1E" w:rsidP="0070787C">
      <w:pPr>
        <w:jc w:val="both"/>
        <w:rPr>
          <w:b/>
          <w:sz w:val="28"/>
        </w:rPr>
      </w:pPr>
    </w:p>
    <w:p w14:paraId="6DC698A3" w14:textId="77777777" w:rsidR="00B90C44" w:rsidRDefault="00B90C44" w:rsidP="0070787C">
      <w:pPr>
        <w:jc w:val="both"/>
        <w:rPr>
          <w:b/>
          <w:sz w:val="28"/>
        </w:rPr>
      </w:pPr>
    </w:p>
    <w:p w14:paraId="76DA99F3" w14:textId="77777777" w:rsidR="00B90C44" w:rsidRDefault="00B90C44" w:rsidP="0070787C">
      <w:pPr>
        <w:jc w:val="both"/>
        <w:rPr>
          <w:b/>
          <w:sz w:val="28"/>
        </w:rPr>
      </w:pPr>
    </w:p>
    <w:p w14:paraId="3F0D9DDA" w14:textId="77777777" w:rsidR="005B2A93" w:rsidRPr="000B6562" w:rsidRDefault="005B2A93" w:rsidP="0070787C">
      <w:pPr>
        <w:jc w:val="both"/>
        <w:rPr>
          <w:b/>
          <w:sz w:val="28"/>
        </w:rPr>
      </w:pPr>
      <w:r w:rsidRPr="000B6562">
        <w:rPr>
          <w:b/>
          <w:sz w:val="28"/>
        </w:rPr>
        <w:t>Key Highlights:</w:t>
      </w:r>
    </w:p>
    <w:p w14:paraId="3F0D9DDB" w14:textId="77777777" w:rsidR="005B2A93" w:rsidRPr="000B6562" w:rsidRDefault="005B2A93" w:rsidP="0070787C">
      <w:pPr>
        <w:jc w:val="both"/>
      </w:pPr>
    </w:p>
    <w:p w14:paraId="3F0D9DDC" w14:textId="38D2D352" w:rsidR="005B2A93" w:rsidRPr="000B6562" w:rsidRDefault="005B2A93" w:rsidP="000B6562">
      <w:pPr>
        <w:pStyle w:val="ListParagraph"/>
        <w:numPr>
          <w:ilvl w:val="0"/>
          <w:numId w:val="22"/>
        </w:numPr>
        <w:jc w:val="both"/>
      </w:pPr>
      <w:r w:rsidRPr="000B6562">
        <w:t>The Council achieved 153</w:t>
      </w:r>
      <w:r w:rsidRPr="000B6562">
        <w:rPr>
          <w:vertAlign w:val="superscript"/>
        </w:rPr>
        <w:t>rd</w:t>
      </w:r>
      <w:r w:rsidRPr="000B6562">
        <w:t xml:space="preserve"> position in </w:t>
      </w:r>
      <w:proofErr w:type="spellStart"/>
      <w:r w:rsidRPr="000B6562">
        <w:t>Stonewall</w:t>
      </w:r>
      <w:r w:rsidR="00B90C44">
        <w:t>’</w:t>
      </w:r>
      <w:r w:rsidRPr="000B6562">
        <w:t>s</w:t>
      </w:r>
      <w:proofErr w:type="spellEnd"/>
      <w:r w:rsidRPr="000B6562">
        <w:t xml:space="preserve"> Workplace Equalities Index and was confirmed as the most improved organisation</w:t>
      </w:r>
    </w:p>
    <w:p w14:paraId="3F0D9DDD" w14:textId="77777777" w:rsidR="005B2A93" w:rsidRPr="000B6562" w:rsidRDefault="005B2A93" w:rsidP="000B6562">
      <w:pPr>
        <w:pStyle w:val="ListParagraph"/>
        <w:numPr>
          <w:ilvl w:val="0"/>
          <w:numId w:val="22"/>
        </w:numPr>
        <w:jc w:val="both"/>
      </w:pPr>
      <w:r w:rsidRPr="000B6562">
        <w:t>An improved SAP system which enables staff to enter their social identity</w:t>
      </w:r>
    </w:p>
    <w:p w14:paraId="3F0D9DDE" w14:textId="77777777" w:rsidR="005B2A93" w:rsidRPr="000B6562" w:rsidRDefault="005B2A93" w:rsidP="000B6562">
      <w:pPr>
        <w:pStyle w:val="ListParagraph"/>
        <w:numPr>
          <w:ilvl w:val="0"/>
          <w:numId w:val="22"/>
        </w:numPr>
        <w:jc w:val="both"/>
      </w:pPr>
      <w:r w:rsidRPr="000B6562">
        <w:t>Staff awards held to celebrate work that has taken place to embed equalities values and diversity</w:t>
      </w:r>
    </w:p>
    <w:p w14:paraId="3F0D9DDF" w14:textId="77777777" w:rsidR="0033586F" w:rsidRPr="000B6562" w:rsidRDefault="005B2A93" w:rsidP="000B6562">
      <w:pPr>
        <w:pStyle w:val="ListParagraph"/>
        <w:numPr>
          <w:ilvl w:val="0"/>
          <w:numId w:val="22"/>
        </w:numPr>
        <w:jc w:val="both"/>
      </w:pPr>
      <w:r w:rsidRPr="000B6562">
        <w:t>Leadership development promoted to under-represented groups</w:t>
      </w:r>
    </w:p>
    <w:p w14:paraId="3F0D9DE0" w14:textId="77777777" w:rsidR="005B2A93" w:rsidRPr="005B2A93" w:rsidRDefault="005B2A93" w:rsidP="0070787C">
      <w:pPr>
        <w:jc w:val="both"/>
      </w:pPr>
    </w:p>
    <w:p w14:paraId="3F0D9DE1" w14:textId="693C33CE" w:rsidR="005B2A93" w:rsidRPr="005B2A93" w:rsidRDefault="005B2A93" w:rsidP="0070787C">
      <w:pPr>
        <w:jc w:val="both"/>
      </w:pPr>
      <w:r w:rsidRPr="005B2A93">
        <w:t xml:space="preserve">In making Harrow a workplace that reflects the diversity of the borough and feels value and respected, we made a commitment to ensure we were able to develop a comprehensive profile of the workplace by improving the reporting and recording of protected characteristics. In doing so we also need to ensure we have a comprehensive profile of the workforce by improving the reporting and recording of protected characteristics, particularly disability, which has involved updating the SAP system to now allow staff members to include their social identity. All staff </w:t>
      </w:r>
      <w:proofErr w:type="gramStart"/>
      <w:r w:rsidRPr="005B2A93">
        <w:t>are</w:t>
      </w:r>
      <w:proofErr w:type="gramEnd"/>
      <w:r w:rsidRPr="005B2A93">
        <w:t xml:space="preserve"> also required </w:t>
      </w:r>
      <w:r w:rsidR="00CD5E0C">
        <w:t xml:space="preserve">to complete </w:t>
      </w:r>
      <w:r w:rsidRPr="005B2A93">
        <w:t>a mandatory Equality Matters training every two years to ensure that they are up to date with the latest legislation, Council policies and best practice.</w:t>
      </w:r>
    </w:p>
    <w:p w14:paraId="3F0D9DE2" w14:textId="77777777" w:rsidR="005B2A93" w:rsidRPr="005B2A93" w:rsidRDefault="005B2A93" w:rsidP="0070787C">
      <w:pPr>
        <w:jc w:val="both"/>
      </w:pPr>
    </w:p>
    <w:p w14:paraId="3F0D9DE3" w14:textId="77777777" w:rsidR="005B2A93" w:rsidRPr="005B2A93" w:rsidRDefault="005B2A93" w:rsidP="0070787C">
      <w:pPr>
        <w:jc w:val="both"/>
      </w:pPr>
      <w:r w:rsidRPr="005B2A93">
        <w:t>Across the Council the proportion of BAME employees in lower pay bands is greater and reduces in higher pay bands. The representation of employees who have declared a disability remains low across all pay bands in the organisation. In line with this, there has been a commitment to improve the pathways to senior pay bands for BAME and disabled staff and to promote opportunities to increase the talent pipeline from under-represented groups. In doing so, members from our Corporate Leadership Group have committed to volunteer to be promoted as role models and leadership development continues to take place through coaching and CMI Management and leadership development.</w:t>
      </w:r>
    </w:p>
    <w:p w14:paraId="3F0D9DE4" w14:textId="77777777" w:rsidR="005B2A93" w:rsidRPr="005B2A93" w:rsidRDefault="005B2A93" w:rsidP="0070787C">
      <w:pPr>
        <w:jc w:val="both"/>
      </w:pPr>
    </w:p>
    <w:p w14:paraId="3F0D9DE5" w14:textId="1B512753" w:rsidR="005B2A93" w:rsidRDefault="005B2A93" w:rsidP="0070787C">
      <w:pPr>
        <w:jc w:val="both"/>
      </w:pPr>
      <w:r w:rsidRPr="005B2A93">
        <w:t>Last year we also made a commitment to improve the recruitment, support and retention of young people in the Council. Last year only 3.83% of Council staff were made up of people aged 25 or under. This has now increased slightly to 4.28%, which is a 0.45% increase since the previous year. In addressing this issue, 55 young people have been supported through the X16 programme, which aims to improve the employability of young people who are not in education, employment or training</w:t>
      </w:r>
      <w:r w:rsidR="00CD5E0C">
        <w:t xml:space="preserve"> (NEET)</w:t>
      </w:r>
      <w:r w:rsidRPr="005B2A93">
        <w:t>. We have also worked with One Stop Shop and schools to promote apprenticeships</w:t>
      </w:r>
      <w:r w:rsidR="004E141E">
        <w:t>.</w:t>
      </w:r>
    </w:p>
    <w:p w14:paraId="3F0D9DE6" w14:textId="77777777" w:rsidR="004E141E" w:rsidRDefault="004E141E" w:rsidP="0070787C">
      <w:pPr>
        <w:jc w:val="both"/>
      </w:pPr>
    </w:p>
    <w:p w14:paraId="3F0D9DE7" w14:textId="77777777" w:rsidR="004E141E" w:rsidRDefault="004E141E" w:rsidP="0070787C">
      <w:pPr>
        <w:jc w:val="both"/>
      </w:pPr>
      <w:r>
        <w:t xml:space="preserve">This is not only limited to the Council workforce, but also throughout the borough. One example of this is through the </w:t>
      </w:r>
      <w:proofErr w:type="spellStart"/>
      <w:r>
        <w:t>Xcite</w:t>
      </w:r>
      <w:proofErr w:type="spellEnd"/>
      <w:r>
        <w:t xml:space="preserve"> Work Programme that provides professional information and advice, coaching, CV writing and confidence building to residents who want to get back into work.</w:t>
      </w:r>
    </w:p>
    <w:p w14:paraId="3F0D9DE8" w14:textId="77777777" w:rsidR="00191EFB" w:rsidRDefault="00191EFB" w:rsidP="0070787C">
      <w:pPr>
        <w:jc w:val="both"/>
      </w:pPr>
    </w:p>
    <w:p w14:paraId="3F0D9DE9" w14:textId="77777777" w:rsidR="00191EFB" w:rsidRDefault="00191EFB" w:rsidP="0070787C">
      <w:pPr>
        <w:jc w:val="both"/>
      </w:pPr>
      <w:r>
        <w:t>In relation to staff mandatory equalities matters training we are aware that uptake is significantly low due to the fact that many staff at the depot do not have access to computers. For quarter 4 (36% of new starters, and 63% of existing staff) However, L&amp;D are now working with all services to ensure staff receive this training in alternative ways, such as classroom based training. In Quarter 2 (2017/18) this increased to 55% for new starters and 71% for existing staff. This has shown a marked improvement.</w:t>
      </w:r>
    </w:p>
    <w:p w14:paraId="3F0D9DEA" w14:textId="77777777" w:rsidR="004E141E" w:rsidRDefault="004E141E" w:rsidP="0070787C">
      <w:pPr>
        <w:jc w:val="both"/>
      </w:pPr>
    </w:p>
    <w:p w14:paraId="3F0D9DEB" w14:textId="77777777" w:rsidR="004E141E" w:rsidRDefault="004E141E" w:rsidP="0070787C">
      <w:pPr>
        <w:jc w:val="both"/>
        <w:rPr>
          <w:b/>
        </w:rPr>
      </w:pPr>
      <w:proofErr w:type="spellStart"/>
      <w:r w:rsidRPr="000874F6">
        <w:rPr>
          <w:b/>
        </w:rPr>
        <w:t>Xcite</w:t>
      </w:r>
      <w:proofErr w:type="spellEnd"/>
      <w:r w:rsidRPr="000874F6">
        <w:rPr>
          <w:b/>
        </w:rPr>
        <w:t xml:space="preserve"> Work Programme</w:t>
      </w:r>
    </w:p>
    <w:p w14:paraId="3F0D9DEC" w14:textId="77777777" w:rsidR="00B546A8" w:rsidRDefault="00B546A8" w:rsidP="0070787C">
      <w:pPr>
        <w:jc w:val="both"/>
        <w:rPr>
          <w:b/>
        </w:rPr>
      </w:pPr>
    </w:p>
    <w:p w14:paraId="3F0D9DED" w14:textId="77777777" w:rsidR="001D06F5" w:rsidRPr="000874F6" w:rsidRDefault="001D06F5" w:rsidP="0070787C">
      <w:pPr>
        <w:jc w:val="both"/>
        <w:rPr>
          <w:b/>
        </w:rPr>
      </w:pPr>
      <w:r>
        <w:rPr>
          <w:b/>
          <w:noProof/>
          <w:lang w:eastAsia="en-GB"/>
        </w:rPr>
        <w:drawing>
          <wp:inline distT="0" distB="0" distL="0" distR="0" wp14:anchorId="3F0D9F58" wp14:editId="3F0D9F59">
            <wp:extent cx="2266519" cy="2424223"/>
            <wp:effectExtent l="0" t="0" r="635" b="0"/>
            <wp:docPr id="7" name="Picture 7" descr="C:\Users\sdar\AppData\Local\Microsoft\Windows\INetCache\IE\5H063SBZ\teamwork-diversity-20471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dar\AppData\Local\Microsoft\Windows\INetCache\IE\5H063SBZ\teamwork-diversity-20471736[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431" cy="2424129"/>
                    </a:xfrm>
                    <a:prstGeom prst="rect">
                      <a:avLst/>
                    </a:prstGeom>
                    <a:noFill/>
                    <a:ln>
                      <a:noFill/>
                    </a:ln>
                  </pic:spPr>
                </pic:pic>
              </a:graphicData>
            </a:graphic>
          </wp:inline>
        </w:drawing>
      </w:r>
    </w:p>
    <w:p w14:paraId="3F0D9DEE" w14:textId="77777777" w:rsidR="004E141E" w:rsidRPr="005B2A93" w:rsidRDefault="004E141E" w:rsidP="0070787C">
      <w:pPr>
        <w:jc w:val="both"/>
        <w:rPr>
          <w:b/>
          <w:color w:val="FF6600"/>
        </w:rPr>
      </w:pPr>
    </w:p>
    <w:p w14:paraId="3F0D9DEF" w14:textId="2934EF5A" w:rsidR="004E141E" w:rsidRPr="00A15F65" w:rsidRDefault="004E141E" w:rsidP="0070787C">
      <w:pPr>
        <w:shd w:val="clear" w:color="auto" w:fill="FFFFFF" w:themeFill="background1"/>
        <w:jc w:val="both"/>
        <w:rPr>
          <w:lang w:val="en-US"/>
        </w:rPr>
      </w:pPr>
      <w:r w:rsidRPr="00A15F65">
        <w:rPr>
          <w:lang w:val="en-US"/>
        </w:rPr>
        <w:t xml:space="preserve">Mr. AA had been unemployed for six years and was unable to get an interview for a job. We arranged confidence building and 1-2-1 support to build his confidence. His </w:t>
      </w:r>
      <w:r w:rsidR="00CD5E0C">
        <w:rPr>
          <w:lang w:val="en-US"/>
        </w:rPr>
        <w:t>A</w:t>
      </w:r>
      <w:r w:rsidRPr="00A15F65">
        <w:rPr>
          <w:lang w:val="en-US"/>
        </w:rPr>
        <w:t>dvis</w:t>
      </w:r>
      <w:r w:rsidR="00CD5E0C">
        <w:rPr>
          <w:lang w:val="en-US"/>
        </w:rPr>
        <w:t>e</w:t>
      </w:r>
      <w:r w:rsidRPr="00A15F65">
        <w:rPr>
          <w:lang w:val="en-US"/>
        </w:rPr>
        <w:t xml:space="preserve">r discussed his options, which needed to fit </w:t>
      </w:r>
      <w:r w:rsidR="00CD5E0C">
        <w:rPr>
          <w:lang w:val="en-US"/>
        </w:rPr>
        <w:t>a</w:t>
      </w:r>
      <w:r w:rsidRPr="00A15F65">
        <w:rPr>
          <w:lang w:val="en-US"/>
        </w:rPr>
        <w:t>round his childcare responsibilities. We arranged an interview with the council’s facility management supplier, and Mr. A</w:t>
      </w:r>
      <w:r w:rsidR="00B90C44">
        <w:rPr>
          <w:lang w:val="en-US"/>
        </w:rPr>
        <w:t>A</w:t>
      </w:r>
      <w:r w:rsidRPr="00A15F65">
        <w:rPr>
          <w:lang w:val="en-US"/>
        </w:rPr>
        <w:t xml:space="preserve"> was successful in his application. Mr. AA said “the future seems brighter, at least now I can care for my children properly.”</w:t>
      </w:r>
    </w:p>
    <w:p w14:paraId="3F0D9DF0" w14:textId="77777777" w:rsidR="004E141E" w:rsidRPr="00A15F65" w:rsidRDefault="004E141E" w:rsidP="0070787C">
      <w:pPr>
        <w:shd w:val="clear" w:color="auto" w:fill="FFFFFF" w:themeFill="background1"/>
        <w:jc w:val="both"/>
        <w:rPr>
          <w:lang w:val="en-US"/>
        </w:rPr>
      </w:pPr>
    </w:p>
    <w:p w14:paraId="3F0D9DF1" w14:textId="6ECF074A" w:rsidR="004E141E" w:rsidRPr="00A15F65" w:rsidRDefault="004E141E" w:rsidP="0070787C">
      <w:pPr>
        <w:shd w:val="clear" w:color="auto" w:fill="FFFFFF" w:themeFill="background1"/>
      </w:pPr>
      <w:r w:rsidRPr="00A15F65">
        <w:t xml:space="preserve">Ms. D, </w:t>
      </w:r>
      <w:r w:rsidR="00B90C44">
        <w:t>s</w:t>
      </w:r>
      <w:r w:rsidRPr="00A15F65">
        <w:t xml:space="preserve">ingle mother of two children aged 19 years and 10 years. The family became known to Harrow Children and Family Services via Harrow Jobcentre </w:t>
      </w:r>
      <w:proofErr w:type="gramStart"/>
      <w:r w:rsidRPr="00A15F65">
        <w:t>Plus</w:t>
      </w:r>
      <w:proofErr w:type="gramEnd"/>
      <w:r w:rsidRPr="00A15F65">
        <w:t xml:space="preserve"> (JCP), through a direct referral to the Multi Agency Safeguarding Hub (MASH) Team. Ms D had fled from Domestic Violence with support from her two children.</w:t>
      </w:r>
    </w:p>
    <w:p w14:paraId="3F0D9DF2" w14:textId="77777777" w:rsidR="004E141E" w:rsidRPr="00A15F65" w:rsidRDefault="004E141E" w:rsidP="0070787C">
      <w:pPr>
        <w:shd w:val="clear" w:color="auto" w:fill="FFFFFF" w:themeFill="background1"/>
      </w:pPr>
    </w:p>
    <w:p w14:paraId="3F0D9DF3" w14:textId="5E82E4CB" w:rsidR="004E141E" w:rsidRDefault="004E141E" w:rsidP="00691B93">
      <w:pPr>
        <w:shd w:val="clear" w:color="auto" w:fill="FFFFFF" w:themeFill="background1"/>
        <w:jc w:val="both"/>
      </w:pPr>
      <w:r w:rsidRPr="00A15F65">
        <w:t xml:space="preserve">Ms. D had a language barrier, very low self-esteem, and was low in confidence. She had never been allowed to go out of the house or deal with finances, and had no bank account under her own name. She was supported to claim JSA, and </w:t>
      </w:r>
      <w:r w:rsidR="00B90C44">
        <w:t>t</w:t>
      </w:r>
      <w:r w:rsidRPr="00A15F65">
        <w:t xml:space="preserve">ax </w:t>
      </w:r>
      <w:r w:rsidR="00B90C44">
        <w:t>c</w:t>
      </w:r>
      <w:r w:rsidRPr="00A15F65">
        <w:t xml:space="preserve">redits and Child Benefits were also transferred </w:t>
      </w:r>
      <w:r w:rsidR="00B90C44">
        <w:t>to</w:t>
      </w:r>
      <w:r w:rsidR="00B90C44" w:rsidRPr="00A15F65">
        <w:t xml:space="preserve"> </w:t>
      </w:r>
      <w:r w:rsidRPr="00A15F65">
        <w:t xml:space="preserve">her name. She was taken to the Harrow Women’s Centre to speak to a legal </w:t>
      </w:r>
      <w:r w:rsidR="00B90C44">
        <w:t>a</w:t>
      </w:r>
      <w:r w:rsidRPr="00A15F65">
        <w:t xml:space="preserve">dviser and an Independent Domestic Violence </w:t>
      </w:r>
      <w:r w:rsidR="00B90C44">
        <w:t>Advocate</w:t>
      </w:r>
      <w:r w:rsidRPr="00A15F65">
        <w:t>, and also to the Women’s Circle Faith Regen in W</w:t>
      </w:r>
      <w:r w:rsidR="00F348A1">
        <w:t>embley for counselling support.</w:t>
      </w:r>
    </w:p>
    <w:p w14:paraId="3957207F" w14:textId="77777777" w:rsidR="00F348A1" w:rsidRPr="00A15F65" w:rsidRDefault="00F348A1" w:rsidP="00691B93">
      <w:pPr>
        <w:shd w:val="clear" w:color="auto" w:fill="FFFFFF" w:themeFill="background1"/>
        <w:jc w:val="both"/>
      </w:pPr>
    </w:p>
    <w:p w14:paraId="3F0D9DF4" w14:textId="44839161" w:rsidR="004E141E" w:rsidRPr="00A15F65" w:rsidRDefault="004E141E" w:rsidP="00691B93">
      <w:pPr>
        <w:shd w:val="clear" w:color="auto" w:fill="FFFFFF" w:themeFill="background1"/>
        <w:jc w:val="both"/>
      </w:pPr>
      <w:r w:rsidRPr="00A15F65">
        <w:t xml:space="preserve">Her </w:t>
      </w:r>
      <w:r w:rsidR="00CD5E0C">
        <w:t>A</w:t>
      </w:r>
      <w:r w:rsidRPr="00A15F65">
        <w:t>dvis</w:t>
      </w:r>
      <w:r w:rsidR="00CD5E0C">
        <w:t>e</w:t>
      </w:r>
      <w:r w:rsidRPr="00A15F65">
        <w:t xml:space="preserve">r then contacted care agencies to see if they had any homes that spoke the same language as her, where she could do care work. We arranged for her training and a DBS, and she was offered a job. We contacted tax credits to find out how much she would be entitled to, and did a </w:t>
      </w:r>
      <w:r w:rsidR="00B90C44">
        <w:t>“</w:t>
      </w:r>
      <w:r w:rsidRPr="00A15F65">
        <w:t xml:space="preserve">Better </w:t>
      </w:r>
      <w:r w:rsidR="00B90C44" w:rsidRPr="00A15F65">
        <w:t>off</w:t>
      </w:r>
      <w:r w:rsidR="00B90C44">
        <w:t xml:space="preserve">” </w:t>
      </w:r>
      <w:proofErr w:type="gramStart"/>
      <w:r w:rsidR="00B90C44">
        <w:t>c</w:t>
      </w:r>
      <w:r w:rsidRPr="00A15F65">
        <w:t>alculation  which</w:t>
      </w:r>
      <w:proofErr w:type="gramEnd"/>
      <w:r w:rsidRPr="00A15F65">
        <w:t xml:space="preserve"> showed that she was better off taking this job. </w:t>
      </w:r>
    </w:p>
    <w:p w14:paraId="3F0D9DF5" w14:textId="77777777" w:rsidR="004E141E" w:rsidRPr="00A15F65" w:rsidRDefault="004E141E" w:rsidP="00691B93">
      <w:pPr>
        <w:shd w:val="clear" w:color="auto" w:fill="FFFFFF" w:themeFill="background1"/>
        <w:jc w:val="both"/>
      </w:pPr>
    </w:p>
    <w:p w14:paraId="3F0D9DF6" w14:textId="37875A78" w:rsidR="004E141E" w:rsidRPr="00A15F65" w:rsidRDefault="004E141E" w:rsidP="00691B93">
      <w:pPr>
        <w:shd w:val="clear" w:color="auto" w:fill="FFFFFF" w:themeFill="background1"/>
        <w:jc w:val="both"/>
      </w:pPr>
      <w:r w:rsidRPr="00A15F65">
        <w:t xml:space="preserve">Ms D is now working 20 hours </w:t>
      </w:r>
      <w:r w:rsidR="00B90C44">
        <w:t>per week,</w:t>
      </w:r>
      <w:r w:rsidRPr="00A15F65">
        <w:t xml:space="preserve"> earning £</w:t>
      </w:r>
      <w:r w:rsidR="00B90C44">
        <w:t xml:space="preserve">8 per </w:t>
      </w:r>
      <w:proofErr w:type="spellStart"/>
      <w:r w:rsidR="00B90C44">
        <w:t>hour</w:t>
      </w:r>
      <w:r w:rsidRPr="00A15F65">
        <w:t>and</w:t>
      </w:r>
      <w:proofErr w:type="spellEnd"/>
      <w:r w:rsidRPr="00A15F65">
        <w:t xml:space="preserve"> receiving £139 in tax credits, where she was only getting JSA of £72pw. She is much more confident and looking to increase her working hours and learning to drive. She said her </w:t>
      </w:r>
      <w:r w:rsidRPr="00A15F65">
        <w:rPr>
          <w:i/>
        </w:rPr>
        <w:t>“life has turned around completely”.</w:t>
      </w:r>
    </w:p>
    <w:p w14:paraId="3F0D9DF7" w14:textId="77777777" w:rsidR="005B2A93" w:rsidRDefault="005B2A93" w:rsidP="0070787C">
      <w:pPr>
        <w:jc w:val="both"/>
      </w:pPr>
    </w:p>
    <w:p w14:paraId="3F0D9DF8" w14:textId="5EA67C31" w:rsidR="001D06F5" w:rsidRDefault="00185383" w:rsidP="0070787C">
      <w:pPr>
        <w:jc w:val="both"/>
      </w:pPr>
      <w:r w:rsidRPr="005B2A93">
        <w:t xml:space="preserve">In relation to </w:t>
      </w:r>
      <w:r w:rsidR="003303E4" w:rsidRPr="009714C9">
        <w:t xml:space="preserve">Lesbian Gay Bisexual Transgender </w:t>
      </w:r>
      <w:r w:rsidR="003303E4">
        <w:t>(</w:t>
      </w:r>
      <w:r w:rsidRPr="005B2A93">
        <w:t>LGBT</w:t>
      </w:r>
      <w:proofErr w:type="gramStart"/>
      <w:r w:rsidR="003303E4">
        <w:t>)</w:t>
      </w:r>
      <w:r w:rsidRPr="005B2A93">
        <w:t>staff</w:t>
      </w:r>
      <w:proofErr w:type="gramEnd"/>
      <w:r w:rsidRPr="005B2A93">
        <w:t xml:space="preserve"> in particular, our target at the beginning of the year was for Harrow to become a more inclusive workplace for LGBT staff and members and to achieve a top 200 place in the Workplace Index in 2016. Achieving 153</w:t>
      </w:r>
      <w:r w:rsidRPr="005B2A93">
        <w:rPr>
          <w:vertAlign w:val="superscript"/>
        </w:rPr>
        <w:t>rd</w:t>
      </w:r>
      <w:r w:rsidRPr="005B2A93">
        <w:t xml:space="preserve"> position in the Index has been a huge success for the Council and we pledge to build on this success in the coming year.</w:t>
      </w:r>
    </w:p>
    <w:p w14:paraId="3F0D9DFA" w14:textId="77777777" w:rsidR="001D06F5" w:rsidRDefault="00820D6E" w:rsidP="0070787C">
      <w:pPr>
        <w:jc w:val="both"/>
        <w:rPr>
          <w:b/>
        </w:rPr>
      </w:pPr>
      <w:r w:rsidRPr="00820D6E">
        <w:rPr>
          <w:b/>
        </w:rPr>
        <w:t>Stonewall</w:t>
      </w:r>
    </w:p>
    <w:p w14:paraId="3F0D9DFB" w14:textId="77777777" w:rsidR="00D401B3" w:rsidRDefault="00D401B3" w:rsidP="0070787C">
      <w:pPr>
        <w:jc w:val="both"/>
        <w:rPr>
          <w:b/>
        </w:rPr>
      </w:pPr>
    </w:p>
    <w:p w14:paraId="3F0D9DFC" w14:textId="5AAD6F10" w:rsidR="001D06F5" w:rsidRDefault="00A76CDC" w:rsidP="0070787C">
      <w:pPr>
        <w:jc w:val="both"/>
        <w:rPr>
          <w:b/>
        </w:rPr>
      </w:pPr>
      <w:r>
        <w:rPr>
          <w:b/>
          <w:noProof/>
          <w:lang w:eastAsia="en-GB"/>
        </w:rPr>
        <w:drawing>
          <wp:inline distT="0" distB="0" distL="0" distR="0" wp14:anchorId="59224BBA" wp14:editId="40844B05">
            <wp:extent cx="2073349" cy="1722817"/>
            <wp:effectExtent l="0" t="0" r="3175" b="0"/>
            <wp:docPr id="1" name="Picture 1" descr="C:\Users\SDar\AppData\Local\Microsoft\Windows\Temporary Internet Files\Content.Outlook\40G4IEVJ\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r\AppData\Local\Microsoft\Windows\Temporary Internet Files\Content.Outlook\40G4IEVJ\stonewall-diversitychampion-logo-blac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3686" cy="1723097"/>
                    </a:xfrm>
                    <a:prstGeom prst="rect">
                      <a:avLst/>
                    </a:prstGeom>
                    <a:noFill/>
                    <a:ln>
                      <a:noFill/>
                    </a:ln>
                  </pic:spPr>
                </pic:pic>
              </a:graphicData>
            </a:graphic>
          </wp:inline>
        </w:drawing>
      </w:r>
    </w:p>
    <w:p w14:paraId="4A8A92E0" w14:textId="77777777" w:rsidR="00A76CDC" w:rsidRDefault="00A76CDC" w:rsidP="0070787C">
      <w:pPr>
        <w:jc w:val="both"/>
      </w:pPr>
    </w:p>
    <w:p w14:paraId="3F0D9DFD" w14:textId="3220CA6E" w:rsidR="00820D6E" w:rsidRDefault="00820D6E" w:rsidP="0070787C">
      <w:pPr>
        <w:jc w:val="both"/>
      </w:pPr>
      <w:r w:rsidRPr="009714C9">
        <w:t xml:space="preserve">As part of our commitment to promote equality of opportunity and to help develop ‘an inclusive workforce that feels valued, respected and reflects our community’, Harrow Council signed up to </w:t>
      </w:r>
      <w:proofErr w:type="spellStart"/>
      <w:r w:rsidRPr="009714C9">
        <w:t>Stonewall</w:t>
      </w:r>
      <w:r w:rsidR="003303E4">
        <w:t>’</w:t>
      </w:r>
      <w:r w:rsidRPr="009714C9">
        <w:t>s</w:t>
      </w:r>
      <w:proofErr w:type="spellEnd"/>
      <w:r w:rsidRPr="009714C9">
        <w:t xml:space="preserve"> Diversity Champions Programme in 2015</w:t>
      </w:r>
      <w:r>
        <w:t xml:space="preserve">. The programme enabled </w:t>
      </w:r>
      <w:r w:rsidRPr="009714C9">
        <w:t>us to build on our work around LGBT equality and ensure</w:t>
      </w:r>
      <w:r>
        <w:t>d</w:t>
      </w:r>
      <w:r w:rsidRPr="009714C9">
        <w:t xml:space="preserve"> we support our staff and ser</w:t>
      </w:r>
      <w:r>
        <w:t>vice users who identify as LGBT.</w:t>
      </w:r>
    </w:p>
    <w:p w14:paraId="3F0D9DFE" w14:textId="77777777" w:rsidR="00820D6E" w:rsidRDefault="00820D6E" w:rsidP="0070787C">
      <w:pPr>
        <w:jc w:val="both"/>
      </w:pPr>
    </w:p>
    <w:p w14:paraId="3F0D9DFF" w14:textId="2F029A5B" w:rsidR="00820D6E" w:rsidRDefault="00820D6E" w:rsidP="0070787C">
      <w:pPr>
        <w:jc w:val="both"/>
      </w:pPr>
      <w:r w:rsidRPr="009714C9">
        <w:t xml:space="preserve">As part of the programme, we submitted evidence to participate in </w:t>
      </w:r>
      <w:proofErr w:type="spellStart"/>
      <w:r w:rsidRPr="009714C9">
        <w:t>Stonewall</w:t>
      </w:r>
      <w:r w:rsidR="003303E4">
        <w:t>’</w:t>
      </w:r>
      <w:r w:rsidRPr="009714C9">
        <w:t>s</w:t>
      </w:r>
      <w:proofErr w:type="spellEnd"/>
      <w:r w:rsidRPr="009714C9">
        <w:t xml:space="preserve"> Workplace Equality Index (WEI). The WEI is a powerful evidence-based benchmarking tool used by employers to assess their achievements and progress on LGBT equality in the workplace. </w:t>
      </w:r>
      <w:r>
        <w:t>In 2015 we were</w:t>
      </w:r>
      <w:r w:rsidRPr="006B6D8C">
        <w:t xml:space="preserve"> ranked 399 out of 416 employers, which highlight</w:t>
      </w:r>
      <w:r>
        <w:t xml:space="preserve">ed, </w:t>
      </w:r>
      <w:r w:rsidRPr="006B6D8C">
        <w:t xml:space="preserve">although we </w:t>
      </w:r>
      <w:r w:rsidR="00A95FD4">
        <w:t>had</w:t>
      </w:r>
      <w:r w:rsidR="00A95FD4" w:rsidRPr="006B6D8C">
        <w:t xml:space="preserve"> </w:t>
      </w:r>
      <w:r w:rsidRPr="006B6D8C">
        <w:t xml:space="preserve">come a long way, there </w:t>
      </w:r>
      <w:r>
        <w:t>was</w:t>
      </w:r>
      <w:r w:rsidRPr="006B6D8C">
        <w:t xml:space="preserve"> still much more to d</w:t>
      </w:r>
      <w:r>
        <w:t>o.</w:t>
      </w:r>
      <w:r w:rsidRPr="006B6D8C">
        <w:t xml:space="preserve"> The Corporate Equalities Group (CEG) set a target to get into the top </w:t>
      </w:r>
      <w:r w:rsidRPr="00820D6E">
        <w:t>200</w:t>
      </w:r>
      <w:r w:rsidRPr="006B6D8C">
        <w:rPr>
          <w:color w:val="FF0000"/>
        </w:rPr>
        <w:t xml:space="preserve"> </w:t>
      </w:r>
      <w:r>
        <w:t>in 2016.</w:t>
      </w:r>
    </w:p>
    <w:p w14:paraId="3F0D9E00" w14:textId="77777777" w:rsidR="00820D6E" w:rsidRDefault="00820D6E" w:rsidP="0070787C">
      <w:pPr>
        <w:jc w:val="both"/>
      </w:pPr>
    </w:p>
    <w:p w14:paraId="3F0D9E01" w14:textId="11E857F9" w:rsidR="00820D6E" w:rsidRDefault="00820D6E" w:rsidP="0070787C">
      <w:pPr>
        <w:jc w:val="both"/>
      </w:pPr>
      <w:r>
        <w:t>This year Harrow progressed to 153</w:t>
      </w:r>
      <w:r w:rsidRPr="00820D6E">
        <w:rPr>
          <w:vertAlign w:val="superscript"/>
        </w:rPr>
        <w:t>rd</w:t>
      </w:r>
      <w:r>
        <w:t xml:space="preserve"> place out of 440 employers, this is huge </w:t>
      </w:r>
      <w:proofErr w:type="spellStart"/>
      <w:r>
        <w:t>successSome</w:t>
      </w:r>
      <w:proofErr w:type="spellEnd"/>
      <w:r>
        <w:t xml:space="preserve"> of the initiatives this year included, LGBT awareness training, Rainbow stickers, LGBT history month, International Day </w:t>
      </w:r>
      <w:proofErr w:type="gramStart"/>
      <w:r>
        <w:t>Against</w:t>
      </w:r>
      <w:proofErr w:type="gramEnd"/>
      <w:r>
        <w:t xml:space="preserve"> Homophobia, </w:t>
      </w:r>
      <w:proofErr w:type="spellStart"/>
      <w:r>
        <w:t>Biophobia</w:t>
      </w:r>
      <w:proofErr w:type="spellEnd"/>
      <w:r>
        <w:t xml:space="preserve">, and </w:t>
      </w:r>
      <w:proofErr w:type="spellStart"/>
      <w:r>
        <w:t>Transphobia</w:t>
      </w:r>
      <w:proofErr w:type="spellEnd"/>
      <w:r>
        <w:t xml:space="preserve"> (IDAHO), and taking part in </w:t>
      </w:r>
      <w:r w:rsidR="00A95FD4">
        <w:t xml:space="preserve">the London </w:t>
      </w:r>
      <w:r>
        <w:t>Pride</w:t>
      </w:r>
      <w:r w:rsidR="00A95FD4">
        <w:t xml:space="preserve"> March</w:t>
      </w:r>
      <w:r>
        <w:t>.</w:t>
      </w:r>
    </w:p>
    <w:p w14:paraId="3F0D9E02" w14:textId="77777777" w:rsidR="005B2A93" w:rsidRPr="005B2A93" w:rsidRDefault="005B2A93" w:rsidP="0070787C">
      <w:pPr>
        <w:jc w:val="both"/>
      </w:pPr>
    </w:p>
    <w:p w14:paraId="3F0D9E03" w14:textId="77777777" w:rsidR="005B2A93" w:rsidRPr="005B2A93" w:rsidRDefault="005B2A93" w:rsidP="0070787C">
      <w:pPr>
        <w:jc w:val="both"/>
        <w:rPr>
          <w:b/>
          <w:sz w:val="28"/>
        </w:rPr>
      </w:pPr>
      <w:r w:rsidRPr="005B2A93">
        <w:rPr>
          <w:b/>
          <w:color w:val="FF6600"/>
          <w:sz w:val="28"/>
        </w:rPr>
        <w:t>Objective</w:t>
      </w:r>
      <w:r w:rsidR="00617300">
        <w:rPr>
          <w:b/>
          <w:color w:val="FF6600"/>
          <w:sz w:val="28"/>
        </w:rPr>
        <w:t xml:space="preserve"> 2</w:t>
      </w:r>
      <w:r w:rsidRPr="005B2A93">
        <w:rPr>
          <w:b/>
          <w:color w:val="FF6600"/>
          <w:sz w:val="28"/>
        </w:rPr>
        <w:t>:</w:t>
      </w:r>
      <w:r w:rsidRPr="005B2A93">
        <w:rPr>
          <w:b/>
          <w:color w:val="3E007A"/>
          <w:sz w:val="28"/>
        </w:rPr>
        <w:t xml:space="preserve"> An improved understanding of our communities to ensure that services are fair, equitable and accessible to all and reduce inequality</w:t>
      </w:r>
    </w:p>
    <w:p w14:paraId="3F0D9E04" w14:textId="77777777" w:rsidR="00752B40" w:rsidRDefault="00752B40" w:rsidP="0070787C">
      <w:pPr>
        <w:jc w:val="both"/>
        <w:rPr>
          <w:b/>
          <w:color w:val="3E007A"/>
          <w:sz w:val="28"/>
        </w:rPr>
      </w:pPr>
    </w:p>
    <w:tbl>
      <w:tblPr>
        <w:tblW w:w="2992" w:type="dxa"/>
        <w:tblInd w:w="93" w:type="dxa"/>
        <w:tblLook w:val="04A0" w:firstRow="1" w:lastRow="0" w:firstColumn="1" w:lastColumn="0" w:noHBand="0" w:noVBand="1"/>
      </w:tblPr>
      <w:tblGrid>
        <w:gridCol w:w="2000"/>
        <w:gridCol w:w="992"/>
      </w:tblGrid>
      <w:tr w:rsidR="00752B40" w:rsidRPr="00CA068E" w14:paraId="3F0D9E07" w14:textId="77777777" w:rsidTr="0099695A">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3F0D9E05" w14:textId="77777777" w:rsidR="00752B40" w:rsidRPr="00CA068E" w:rsidRDefault="00752B40" w:rsidP="0070787C">
            <w:pPr>
              <w:rPr>
                <w:color w:val="000000"/>
                <w:sz w:val="22"/>
                <w:szCs w:val="22"/>
                <w:lang w:eastAsia="en-GB"/>
              </w:rPr>
            </w:pPr>
            <w:r>
              <w:rPr>
                <w:color w:val="000000"/>
                <w:sz w:val="22"/>
                <w:szCs w:val="22"/>
                <w:lang w:eastAsia="en-GB"/>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tcPr>
          <w:p w14:paraId="3F0D9E06" w14:textId="77777777" w:rsidR="00752B40" w:rsidRPr="00CA068E" w:rsidRDefault="003D69F6" w:rsidP="0070787C">
            <w:pPr>
              <w:jc w:val="center"/>
              <w:rPr>
                <w:color w:val="000000"/>
                <w:sz w:val="22"/>
                <w:szCs w:val="22"/>
                <w:lang w:eastAsia="en-GB"/>
              </w:rPr>
            </w:pPr>
            <w:r>
              <w:rPr>
                <w:color w:val="000000"/>
                <w:sz w:val="22"/>
                <w:szCs w:val="22"/>
                <w:lang w:eastAsia="en-GB"/>
              </w:rPr>
              <w:t>2</w:t>
            </w:r>
          </w:p>
        </w:tc>
      </w:tr>
      <w:tr w:rsidR="00752B40" w:rsidRPr="00CA068E" w14:paraId="3F0D9E0A" w14:textId="77777777" w:rsidTr="0099695A">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3F0D9E08" w14:textId="77777777" w:rsidR="00752B40" w:rsidRPr="00CA068E" w:rsidRDefault="00752B40" w:rsidP="0070787C">
            <w:pPr>
              <w:rPr>
                <w:color w:val="000000"/>
                <w:sz w:val="22"/>
                <w:szCs w:val="22"/>
                <w:lang w:eastAsia="en-GB"/>
              </w:rPr>
            </w:pPr>
            <w:r>
              <w:rPr>
                <w:color w:val="000000"/>
                <w:sz w:val="22"/>
                <w:szCs w:val="22"/>
                <w:lang w:eastAsia="en-GB"/>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tcPr>
          <w:p w14:paraId="3F0D9E09" w14:textId="77777777" w:rsidR="00752B40" w:rsidRPr="00CA068E" w:rsidRDefault="00752B40" w:rsidP="0070787C">
            <w:pPr>
              <w:jc w:val="center"/>
              <w:rPr>
                <w:color w:val="000000"/>
                <w:sz w:val="22"/>
                <w:szCs w:val="22"/>
                <w:lang w:eastAsia="en-GB"/>
              </w:rPr>
            </w:pPr>
          </w:p>
        </w:tc>
      </w:tr>
      <w:tr w:rsidR="00752B40" w:rsidRPr="00CA068E" w14:paraId="3F0D9E0D" w14:textId="77777777" w:rsidTr="0099695A">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F0D9E0B" w14:textId="77777777" w:rsidR="00752B40" w:rsidRPr="00CA068E" w:rsidRDefault="00752B40" w:rsidP="0070787C">
            <w:pPr>
              <w:rPr>
                <w:color w:val="000000"/>
                <w:sz w:val="22"/>
                <w:szCs w:val="22"/>
                <w:lang w:eastAsia="en-GB"/>
              </w:rPr>
            </w:pPr>
            <w:r>
              <w:rPr>
                <w:color w:val="000000"/>
                <w:sz w:val="22"/>
                <w:szCs w:val="22"/>
                <w:lang w:eastAsia="en-GB"/>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tcPr>
          <w:p w14:paraId="3F0D9E0C" w14:textId="77777777" w:rsidR="00752B40" w:rsidRPr="00CA068E" w:rsidRDefault="003D69F6" w:rsidP="0070787C">
            <w:pPr>
              <w:jc w:val="center"/>
              <w:rPr>
                <w:color w:val="000000"/>
                <w:sz w:val="22"/>
                <w:szCs w:val="22"/>
                <w:lang w:eastAsia="en-GB"/>
              </w:rPr>
            </w:pPr>
            <w:r>
              <w:rPr>
                <w:color w:val="000000"/>
                <w:sz w:val="22"/>
                <w:szCs w:val="22"/>
                <w:lang w:eastAsia="en-GB"/>
              </w:rPr>
              <w:t>2</w:t>
            </w:r>
          </w:p>
        </w:tc>
      </w:tr>
      <w:tr w:rsidR="00752B40" w:rsidRPr="00CA068E" w14:paraId="3F0D9E0F" w14:textId="77777777" w:rsidTr="0099695A">
        <w:trPr>
          <w:trHeight w:val="155"/>
        </w:trPr>
        <w:tc>
          <w:tcPr>
            <w:tcW w:w="2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D9E0E" w14:textId="77777777" w:rsidR="00752B40" w:rsidRPr="00CA068E" w:rsidRDefault="00752B40" w:rsidP="0070787C">
            <w:pPr>
              <w:rPr>
                <w:color w:val="000000"/>
                <w:sz w:val="22"/>
                <w:szCs w:val="22"/>
                <w:lang w:eastAsia="en-GB"/>
              </w:rPr>
            </w:pPr>
            <w:r w:rsidRPr="00CA068E">
              <w:rPr>
                <w:color w:val="000000"/>
                <w:sz w:val="22"/>
                <w:szCs w:val="22"/>
                <w:lang w:eastAsia="en-GB"/>
              </w:rPr>
              <w:t> </w:t>
            </w:r>
          </w:p>
        </w:tc>
      </w:tr>
      <w:tr w:rsidR="00752B40" w:rsidRPr="00CA068E" w14:paraId="3F0D9E12" w14:textId="77777777" w:rsidTr="0099695A">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3F0D9E10" w14:textId="77777777" w:rsidR="00752B40" w:rsidRPr="00CD7A99" w:rsidRDefault="00752B40" w:rsidP="0070787C">
            <w:pPr>
              <w:rPr>
                <w:color w:val="FFFFFF"/>
                <w:sz w:val="22"/>
                <w:szCs w:val="22"/>
                <w:lang w:eastAsia="en-GB"/>
              </w:rPr>
            </w:pPr>
            <w:r>
              <w:rPr>
                <w:color w:val="FFFFFF"/>
                <w:sz w:val="22"/>
                <w:szCs w:val="22"/>
                <w:lang w:eastAsia="en-GB"/>
              </w:rPr>
              <w:t>Overall Status</w:t>
            </w:r>
          </w:p>
        </w:tc>
        <w:tc>
          <w:tcPr>
            <w:tcW w:w="992" w:type="dxa"/>
            <w:tcBorders>
              <w:top w:val="nil"/>
              <w:left w:val="nil"/>
              <w:bottom w:val="single" w:sz="4" w:space="0" w:color="auto"/>
              <w:right w:val="single" w:sz="4" w:space="0" w:color="auto"/>
            </w:tcBorders>
            <w:shd w:val="clear" w:color="auto" w:fill="auto"/>
            <w:noWrap/>
            <w:vAlign w:val="bottom"/>
            <w:hideMark/>
          </w:tcPr>
          <w:p w14:paraId="3F0D9E11" w14:textId="77777777" w:rsidR="00752B40" w:rsidRPr="00C9129C" w:rsidRDefault="003D69F6" w:rsidP="0070787C">
            <w:pPr>
              <w:jc w:val="center"/>
              <w:rPr>
                <w:b/>
                <w:color w:val="000000"/>
                <w:sz w:val="22"/>
                <w:szCs w:val="22"/>
                <w:lang w:eastAsia="en-GB"/>
              </w:rPr>
            </w:pPr>
            <w:r>
              <w:rPr>
                <w:b/>
                <w:color w:val="000000"/>
                <w:sz w:val="22"/>
                <w:szCs w:val="22"/>
                <w:lang w:eastAsia="en-GB"/>
              </w:rPr>
              <w:t>A</w:t>
            </w:r>
          </w:p>
        </w:tc>
      </w:tr>
    </w:tbl>
    <w:p w14:paraId="3F0D9E13" w14:textId="77777777" w:rsidR="00752B40" w:rsidRPr="005B2A93" w:rsidRDefault="00752B40" w:rsidP="0070787C">
      <w:pPr>
        <w:jc w:val="both"/>
        <w:rPr>
          <w:color w:val="3E007A"/>
        </w:rPr>
      </w:pPr>
    </w:p>
    <w:p w14:paraId="3F0D9E14" w14:textId="77777777" w:rsidR="005B2A93" w:rsidRPr="005B2A93" w:rsidRDefault="005B2A93" w:rsidP="0070787C">
      <w:pPr>
        <w:jc w:val="both"/>
        <w:rPr>
          <w:b/>
          <w:color w:val="3E007A"/>
          <w:sz w:val="28"/>
        </w:rPr>
      </w:pPr>
      <w:r w:rsidRPr="005B2A93">
        <w:rPr>
          <w:b/>
          <w:color w:val="3E007A"/>
          <w:sz w:val="28"/>
        </w:rPr>
        <w:t>Key Highlights:</w:t>
      </w:r>
    </w:p>
    <w:p w14:paraId="3F0D9E15" w14:textId="77777777" w:rsidR="005B2A93" w:rsidRPr="005B2A93" w:rsidRDefault="005B2A93" w:rsidP="0070787C">
      <w:pPr>
        <w:jc w:val="both"/>
        <w:rPr>
          <w:color w:val="3E007A"/>
        </w:rPr>
      </w:pPr>
    </w:p>
    <w:p w14:paraId="3F0D9E16" w14:textId="77777777" w:rsidR="005B2A93" w:rsidRDefault="004E141E" w:rsidP="000B6562">
      <w:pPr>
        <w:pStyle w:val="NoSpacing"/>
        <w:numPr>
          <w:ilvl w:val="0"/>
          <w:numId w:val="23"/>
        </w:numPr>
        <w:jc w:val="both"/>
        <w:rPr>
          <w:rFonts w:ascii="Arial" w:hAnsi="Arial" w:cs="Arial"/>
          <w:sz w:val="24"/>
          <w:szCs w:val="24"/>
        </w:rPr>
      </w:pPr>
      <w:r>
        <w:rPr>
          <w:rFonts w:ascii="Arial" w:hAnsi="Arial" w:cs="Arial"/>
          <w:sz w:val="24"/>
          <w:szCs w:val="24"/>
        </w:rPr>
        <w:t xml:space="preserve">Harrow’s frontline staff who work in Access Harrow are now </w:t>
      </w:r>
      <w:r w:rsidR="000874F6">
        <w:rPr>
          <w:rFonts w:ascii="Arial" w:hAnsi="Arial" w:cs="Arial"/>
          <w:sz w:val="24"/>
          <w:szCs w:val="24"/>
        </w:rPr>
        <w:t>t</w:t>
      </w:r>
      <w:r w:rsidR="006F2EC6">
        <w:rPr>
          <w:rFonts w:ascii="Arial" w:hAnsi="Arial" w:cs="Arial"/>
          <w:sz w:val="24"/>
          <w:szCs w:val="24"/>
        </w:rPr>
        <w:t>rained in British Sign Language</w:t>
      </w:r>
    </w:p>
    <w:p w14:paraId="3F0D9E17" w14:textId="5E867995" w:rsidR="00FD6891" w:rsidRPr="00FD6891" w:rsidRDefault="00FD6891" w:rsidP="00FD6891">
      <w:pPr>
        <w:pStyle w:val="ListParagraph"/>
        <w:numPr>
          <w:ilvl w:val="0"/>
          <w:numId w:val="23"/>
        </w:numPr>
      </w:pPr>
      <w:r>
        <w:t>A communications plan was developed and the service has been publicised in the CEO Newsletter, internal comm</w:t>
      </w:r>
      <w:r w:rsidR="00194201">
        <w:t>unication</w:t>
      </w:r>
      <w:r>
        <w:t xml:space="preserve">s and staff updates. A press release </w:t>
      </w:r>
      <w:r w:rsidR="00194201">
        <w:t>was</w:t>
      </w:r>
      <w:r>
        <w:t xml:space="preserve"> also issued and the service </w:t>
      </w:r>
      <w:r w:rsidR="00194201">
        <w:t>was</w:t>
      </w:r>
      <w:r>
        <w:t xml:space="preserve"> publicised via social media. In 2015/2016 there were 8,832</w:t>
      </w:r>
      <w:r w:rsidR="00F348A1">
        <w:t xml:space="preserve"> Disabled Go users</w:t>
      </w:r>
      <w:r>
        <w:t>, this increased to 15,511 in 2016/ 2017.</w:t>
      </w:r>
    </w:p>
    <w:p w14:paraId="3F0D9E18" w14:textId="77777777" w:rsidR="005B2A93" w:rsidRPr="005B2A93" w:rsidRDefault="005B2A93" w:rsidP="0070787C">
      <w:pPr>
        <w:pStyle w:val="NoSpacing"/>
        <w:jc w:val="both"/>
        <w:rPr>
          <w:rFonts w:ascii="Arial" w:hAnsi="Arial" w:cs="Arial"/>
          <w:sz w:val="24"/>
          <w:szCs w:val="24"/>
        </w:rPr>
      </w:pPr>
    </w:p>
    <w:p w14:paraId="3F0D9E19" w14:textId="165EC85D" w:rsidR="005B2A93" w:rsidRPr="005B2A93" w:rsidRDefault="005B2A93" w:rsidP="0070787C">
      <w:pPr>
        <w:jc w:val="both"/>
      </w:pPr>
      <w:r w:rsidRPr="00FE63ED">
        <w:t>Last year this report highlighted that data against some of the protected characteristics is not collated. There are also cases where the data is not fully analysed. Feedback showed that frontline staff often felt uncomfortable requesting such information from service users. We made it a priority to review and update all our data collation systems to collate data on all nine protected characteristics and update the complaints reporting procedures to capture diversity monitoring information. This work has begun but due to the replacement of the CCPH/CRM system we cannot provide a dat</w:t>
      </w:r>
      <w:r w:rsidR="00F348A1" w:rsidRPr="00FE63ED">
        <w:t>e</w:t>
      </w:r>
      <w:r w:rsidRPr="00FE63ED">
        <w:t xml:space="preserve"> of completion as the project is yet to be determined with Sopra Steria. We also made a pledge to incorporate diversity monitor</w:t>
      </w:r>
      <w:r w:rsidR="004E141E" w:rsidRPr="00FE63ED">
        <w:t>ing into the My Harrow Account.</w:t>
      </w:r>
    </w:p>
    <w:p w14:paraId="3F0D9E1A" w14:textId="77777777" w:rsidR="005B2A93" w:rsidRPr="005B2A93" w:rsidRDefault="005B2A93" w:rsidP="0070787C">
      <w:pPr>
        <w:jc w:val="both"/>
      </w:pPr>
    </w:p>
    <w:p w14:paraId="3F0D9E1D" w14:textId="2DF79095" w:rsidR="005B2A93" w:rsidRDefault="005B2A93" w:rsidP="0070787C">
      <w:pPr>
        <w:jc w:val="both"/>
      </w:pPr>
      <w:r w:rsidRPr="005B2A93">
        <w:t xml:space="preserve">We also continue to make improvements in the organisation as contained in the British Sign Language (BSL) Charter. The Charter pledges to improve access for deaf people to local services and information, and promote learning and high quality teaching of BSL (including giving all deaf children the option of bilingual BSL). We </w:t>
      </w:r>
      <w:r w:rsidR="003303E4">
        <w:t xml:space="preserve">are </w:t>
      </w:r>
      <w:r w:rsidRPr="005B2A93">
        <w:t>ensuring staff that work with deaf people meet the minimum standards of BSL and consult with our local deaf community on a regular basis.</w:t>
      </w:r>
      <w:r w:rsidR="0033586F">
        <w:t xml:space="preserve"> </w:t>
      </w:r>
      <w:r w:rsidRPr="005B2A93">
        <w:t>Earlier this year we received feedback that more could be done to publicise the Access Guide to increase its usage. We took this on</w:t>
      </w:r>
      <w:r w:rsidR="000874F6">
        <w:t xml:space="preserve"> </w:t>
      </w:r>
      <w:r w:rsidRPr="005B2A93">
        <w:t>board and undertook a publicity campaign to promote the Access Guide, a communications plan was developed and all forms of social media publicity were implemented in order to increase the number of people who use the Access Guide.</w:t>
      </w:r>
    </w:p>
    <w:p w14:paraId="3F0D9E1E" w14:textId="77777777" w:rsidR="004E141E" w:rsidRPr="005B2A93" w:rsidRDefault="004E141E" w:rsidP="0070787C">
      <w:pPr>
        <w:jc w:val="both"/>
      </w:pPr>
    </w:p>
    <w:p w14:paraId="3F0D9E20" w14:textId="77777777" w:rsidR="006F2EC6" w:rsidRDefault="005B2A93" w:rsidP="0070787C">
      <w:pPr>
        <w:pStyle w:val="NormalWeb"/>
        <w:spacing w:before="0" w:beforeAutospacing="0" w:after="0" w:afterAutospacing="0"/>
        <w:jc w:val="both"/>
        <w:rPr>
          <w:rFonts w:ascii="Arial" w:eastAsia="Calibri" w:hAnsi="Arial" w:cs="Arial"/>
          <w:b/>
          <w:color w:val="FF6600"/>
          <w:lang w:val="en-GB" w:eastAsia="en-GB"/>
        </w:rPr>
      </w:pPr>
      <w:r w:rsidRPr="005B2A93">
        <w:rPr>
          <w:rFonts w:ascii="Arial" w:eastAsia="Calibri" w:hAnsi="Arial" w:cs="Arial"/>
          <w:b/>
          <w:color w:val="FF6600"/>
          <w:lang w:val="en-GB" w:eastAsia="en-GB"/>
        </w:rPr>
        <w:t>BSL Access Harrow training</w:t>
      </w:r>
    </w:p>
    <w:p w14:paraId="3F0D9E22" w14:textId="77777777" w:rsidR="001D06F5" w:rsidRDefault="001D06F5" w:rsidP="0070787C">
      <w:pPr>
        <w:pStyle w:val="NormalWeb"/>
        <w:spacing w:before="0" w:beforeAutospacing="0" w:after="0" w:afterAutospacing="0"/>
        <w:jc w:val="both"/>
        <w:rPr>
          <w:rFonts w:ascii="Arial" w:eastAsia="Calibri" w:hAnsi="Arial" w:cs="Arial"/>
          <w:b/>
          <w:lang w:val="en-GB" w:eastAsia="en-GB"/>
        </w:rPr>
      </w:pPr>
      <w:r>
        <w:rPr>
          <w:rFonts w:ascii="Arial" w:hAnsi="Arial" w:cs="Arial"/>
          <w:noProof/>
          <w:color w:val="001BA0"/>
          <w:sz w:val="20"/>
          <w:szCs w:val="20"/>
          <w:lang w:val="en-GB" w:eastAsia="en-GB"/>
        </w:rPr>
        <w:drawing>
          <wp:inline distT="0" distB="0" distL="0" distR="0" wp14:anchorId="3F0D9F5C" wp14:editId="3F0D9F5D">
            <wp:extent cx="2860040" cy="1595120"/>
            <wp:effectExtent l="0" t="0" r="0" b="5080"/>
            <wp:docPr id="10" name="Picture 10" descr="Image result for british sign langu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ritish sign languag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14:paraId="3F0D9E23" w14:textId="77777777" w:rsidR="001D06F5" w:rsidRPr="006F2EC6" w:rsidRDefault="001D06F5" w:rsidP="0070787C">
      <w:pPr>
        <w:pStyle w:val="NormalWeb"/>
        <w:spacing w:before="0" w:beforeAutospacing="0" w:after="0" w:afterAutospacing="0"/>
        <w:jc w:val="both"/>
        <w:rPr>
          <w:rFonts w:ascii="Arial" w:eastAsia="Calibri" w:hAnsi="Arial" w:cs="Arial"/>
          <w:b/>
          <w:lang w:val="en-GB" w:eastAsia="en-GB"/>
        </w:rPr>
      </w:pPr>
    </w:p>
    <w:p w14:paraId="3F0D9E24" w14:textId="6AA2DAEA" w:rsidR="006F2EC6" w:rsidRPr="006F2EC6" w:rsidRDefault="006F2EC6" w:rsidP="0070787C">
      <w:pPr>
        <w:pStyle w:val="NormalWeb"/>
        <w:spacing w:before="0" w:beforeAutospacing="0" w:after="0" w:afterAutospacing="0"/>
        <w:jc w:val="both"/>
        <w:rPr>
          <w:rFonts w:ascii="Arial" w:hAnsi="Arial" w:cs="Arial"/>
        </w:rPr>
      </w:pPr>
      <w:r w:rsidRPr="006F2EC6">
        <w:rPr>
          <w:rFonts w:ascii="Arial" w:hAnsi="Arial" w:cs="Arial"/>
        </w:rPr>
        <w:t xml:space="preserve">Access Harrow has successfully trained 10 customer service </w:t>
      </w:r>
      <w:r w:rsidR="003303E4">
        <w:rPr>
          <w:rFonts w:ascii="Arial" w:hAnsi="Arial" w:cs="Arial"/>
        </w:rPr>
        <w:t>A</w:t>
      </w:r>
      <w:r w:rsidRPr="006F2EC6">
        <w:rPr>
          <w:rFonts w:ascii="Arial" w:hAnsi="Arial" w:cs="Arial"/>
        </w:rPr>
        <w:t>dvis</w:t>
      </w:r>
      <w:r w:rsidR="003303E4">
        <w:rPr>
          <w:rFonts w:ascii="Arial" w:hAnsi="Arial" w:cs="Arial"/>
        </w:rPr>
        <w:t>e</w:t>
      </w:r>
      <w:r w:rsidRPr="006F2EC6">
        <w:rPr>
          <w:rFonts w:ascii="Arial" w:hAnsi="Arial" w:cs="Arial"/>
        </w:rPr>
        <w:t>rs in British sign language</w:t>
      </w:r>
      <w:r w:rsidR="00E118BA">
        <w:rPr>
          <w:rFonts w:ascii="Arial" w:hAnsi="Arial" w:cs="Arial"/>
        </w:rPr>
        <w:t>;</w:t>
      </w:r>
      <w:r w:rsidRPr="006F2EC6">
        <w:rPr>
          <w:rFonts w:ascii="Arial" w:hAnsi="Arial" w:cs="Arial"/>
        </w:rPr>
        <w:t xml:space="preserve"> this has been achieved over the last decade. This training has served as a motivator to staff as well as ensuring that the council is able to deal with residents and customers within the deaf community. We have found that the level of training has helped to maintain a high level of customer service that is inclusive to all. It is well received by our customers and residents who need to use our frontline services.</w:t>
      </w:r>
    </w:p>
    <w:p w14:paraId="3F0D9E25" w14:textId="77777777" w:rsidR="004E141E" w:rsidRDefault="004E141E" w:rsidP="0070787C">
      <w:pPr>
        <w:jc w:val="both"/>
        <w:rPr>
          <w:rFonts w:eastAsia="Calibri"/>
          <w:lang w:eastAsia="en-GB"/>
        </w:rPr>
      </w:pPr>
    </w:p>
    <w:p w14:paraId="528AB1E3" w14:textId="0A9B6EA9" w:rsidR="00691B93" w:rsidRDefault="004E141E" w:rsidP="0070787C">
      <w:pPr>
        <w:jc w:val="both"/>
        <w:rPr>
          <w:rFonts w:eastAsia="Calibri"/>
          <w:lang w:eastAsia="en-GB"/>
        </w:rPr>
      </w:pPr>
      <w:r>
        <w:rPr>
          <w:rFonts w:eastAsia="Calibri"/>
          <w:lang w:eastAsia="en-GB"/>
        </w:rPr>
        <w:t>We have also made improvements for disabled residents in the borough through Disabled Go, which provides important access information to local cinemas, restaurants, shops, pubs, etc., allowing people the freedom to decide whether these places are accessible and if they have facilities such as a hearing loop or text in large print</w:t>
      </w:r>
      <w:r w:rsidR="00691B93">
        <w:rPr>
          <w:rFonts w:eastAsia="Calibri"/>
          <w:lang w:eastAsia="en-GB"/>
        </w:rPr>
        <w:t>.</w:t>
      </w:r>
    </w:p>
    <w:p w14:paraId="3526242B" w14:textId="77777777" w:rsidR="00691B93" w:rsidRDefault="00691B93" w:rsidP="0070787C">
      <w:pPr>
        <w:jc w:val="both"/>
        <w:rPr>
          <w:rFonts w:eastAsia="Calibri"/>
          <w:lang w:eastAsia="en-GB"/>
        </w:rPr>
      </w:pPr>
    </w:p>
    <w:p w14:paraId="134660BD" w14:textId="77777777" w:rsidR="00691B93" w:rsidRDefault="00691B93" w:rsidP="0070787C">
      <w:pPr>
        <w:jc w:val="both"/>
        <w:rPr>
          <w:rFonts w:eastAsia="Calibri"/>
          <w:lang w:eastAsia="en-GB"/>
        </w:rPr>
      </w:pPr>
    </w:p>
    <w:p w14:paraId="0DF9E158" w14:textId="77777777" w:rsidR="00691B93" w:rsidRDefault="00691B93" w:rsidP="0070787C">
      <w:pPr>
        <w:jc w:val="both"/>
        <w:rPr>
          <w:rFonts w:eastAsia="Calibri"/>
          <w:lang w:eastAsia="en-GB"/>
        </w:rPr>
      </w:pPr>
    </w:p>
    <w:p w14:paraId="4646A6AA" w14:textId="77777777" w:rsidR="00691B93" w:rsidRDefault="00691B93" w:rsidP="0070787C">
      <w:pPr>
        <w:jc w:val="both"/>
        <w:rPr>
          <w:rFonts w:eastAsia="Calibri"/>
          <w:lang w:eastAsia="en-GB"/>
        </w:rPr>
      </w:pPr>
    </w:p>
    <w:p w14:paraId="1F749C5B" w14:textId="77777777" w:rsidR="00691B93" w:rsidRDefault="00691B93" w:rsidP="0070787C">
      <w:pPr>
        <w:jc w:val="both"/>
        <w:rPr>
          <w:rFonts w:eastAsia="Calibri"/>
          <w:lang w:eastAsia="en-GB"/>
        </w:rPr>
      </w:pPr>
    </w:p>
    <w:p w14:paraId="3F0D9E28" w14:textId="2DD73C04" w:rsidR="001D06F5" w:rsidRDefault="00185383" w:rsidP="0070787C">
      <w:pPr>
        <w:jc w:val="both"/>
        <w:rPr>
          <w:rFonts w:eastAsia="Calibri"/>
          <w:b/>
          <w:color w:val="FF6600"/>
          <w:lang w:eastAsia="en-GB"/>
        </w:rPr>
      </w:pPr>
      <w:r>
        <w:rPr>
          <w:rFonts w:eastAsia="Calibri"/>
          <w:b/>
          <w:color w:val="FF6600"/>
          <w:lang w:eastAsia="en-GB"/>
        </w:rPr>
        <w:t>Disabled Go</w:t>
      </w:r>
    </w:p>
    <w:p w14:paraId="3F0D9E29" w14:textId="77777777" w:rsidR="00FD6891" w:rsidRDefault="00FD6891" w:rsidP="0070787C">
      <w:pPr>
        <w:jc w:val="both"/>
        <w:rPr>
          <w:rFonts w:eastAsia="Calibri"/>
          <w:b/>
          <w:color w:val="FF6600"/>
          <w:lang w:eastAsia="en-GB"/>
        </w:rPr>
      </w:pPr>
    </w:p>
    <w:p w14:paraId="3F0D9E2A" w14:textId="75E6297B" w:rsidR="001D06F5" w:rsidRDefault="00A76CDC" w:rsidP="0070787C">
      <w:pPr>
        <w:jc w:val="both"/>
        <w:rPr>
          <w:rFonts w:eastAsia="Calibri"/>
          <w:b/>
          <w:color w:val="FF6600"/>
          <w:lang w:eastAsia="en-GB"/>
        </w:rPr>
      </w:pPr>
      <w:r>
        <w:rPr>
          <w:noProof/>
          <w:color w:val="0000FF"/>
          <w:lang w:eastAsia="en-GB"/>
        </w:rPr>
        <w:drawing>
          <wp:inline distT="0" distB="0" distL="0" distR="0" wp14:anchorId="4ADDD61F" wp14:editId="7DFDE30D">
            <wp:extent cx="2917695" cy="1456660"/>
            <wp:effectExtent l="0" t="0" r="0" b="0"/>
            <wp:docPr id="4" name="Picture 4" descr="Image result for disabledgo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ledgo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5188" cy="1455408"/>
                    </a:xfrm>
                    <a:prstGeom prst="rect">
                      <a:avLst/>
                    </a:prstGeom>
                    <a:noFill/>
                    <a:ln>
                      <a:noFill/>
                    </a:ln>
                  </pic:spPr>
                </pic:pic>
              </a:graphicData>
            </a:graphic>
          </wp:inline>
        </w:drawing>
      </w:r>
    </w:p>
    <w:p w14:paraId="3F0D9E2B" w14:textId="77777777" w:rsidR="001D06F5" w:rsidRDefault="001D06F5" w:rsidP="0070787C">
      <w:pPr>
        <w:jc w:val="both"/>
        <w:rPr>
          <w:rFonts w:eastAsia="Calibri"/>
          <w:b/>
          <w:color w:val="FF6600"/>
          <w:lang w:eastAsia="en-GB"/>
        </w:rPr>
      </w:pPr>
    </w:p>
    <w:p w14:paraId="3F0D9E2C" w14:textId="77777777" w:rsidR="004E141E" w:rsidRDefault="008973DE" w:rsidP="0070787C">
      <w:pPr>
        <w:jc w:val="both"/>
        <w:rPr>
          <w:b/>
          <w:color w:val="FF6600"/>
          <w:sz w:val="32"/>
        </w:rPr>
      </w:pPr>
      <w:r>
        <w:rPr>
          <w:lang w:val="en"/>
        </w:rPr>
        <w:t xml:space="preserve">Founded by Gregory Burke, a wheelchair user, </w:t>
      </w:r>
      <w:proofErr w:type="spellStart"/>
      <w:r>
        <w:rPr>
          <w:lang w:val="en"/>
        </w:rPr>
        <w:t>DisabledGo</w:t>
      </w:r>
      <w:proofErr w:type="spellEnd"/>
      <w:r>
        <w:rPr>
          <w:lang w:val="en"/>
        </w:rPr>
        <w:t xml:space="preserve"> is the product of years of extensive research and consultation with disabled people and organisations. Developed by disabled people for disabled people, </w:t>
      </w:r>
      <w:proofErr w:type="spellStart"/>
      <w:r>
        <w:rPr>
          <w:lang w:val="en"/>
        </w:rPr>
        <w:t>DisabledGo</w:t>
      </w:r>
      <w:proofErr w:type="spellEnd"/>
      <w:r>
        <w:rPr>
          <w:lang w:val="en"/>
        </w:rPr>
        <w:t xml:space="preserve"> empowers you to make direct, anonymous enquiries about particular venues and judge whether they will be accessible to your individual needs.</w:t>
      </w:r>
    </w:p>
    <w:p w14:paraId="3F0D9E2D" w14:textId="77777777" w:rsidR="008973DE" w:rsidRDefault="008973DE" w:rsidP="0070787C">
      <w:pPr>
        <w:jc w:val="both"/>
        <w:rPr>
          <w:b/>
          <w:color w:val="FF6600"/>
          <w:sz w:val="32"/>
        </w:rPr>
      </w:pPr>
    </w:p>
    <w:p w14:paraId="3F0D9E2E" w14:textId="77777777" w:rsidR="00752B40" w:rsidRDefault="005B2A93" w:rsidP="0070787C">
      <w:pPr>
        <w:jc w:val="both"/>
        <w:rPr>
          <w:b/>
          <w:color w:val="3E007A"/>
          <w:sz w:val="32"/>
        </w:rPr>
      </w:pPr>
      <w:r w:rsidRPr="004E141E">
        <w:rPr>
          <w:b/>
          <w:color w:val="FF6600"/>
          <w:sz w:val="32"/>
        </w:rPr>
        <w:t>Objective</w:t>
      </w:r>
      <w:r w:rsidR="00617300">
        <w:rPr>
          <w:b/>
          <w:color w:val="FF6600"/>
          <w:sz w:val="32"/>
        </w:rPr>
        <w:t xml:space="preserve"> 3</w:t>
      </w:r>
      <w:r w:rsidRPr="004E141E">
        <w:rPr>
          <w:b/>
          <w:color w:val="FF6600"/>
          <w:sz w:val="32"/>
        </w:rPr>
        <w:t>:</w:t>
      </w:r>
      <w:r w:rsidRPr="004E141E">
        <w:rPr>
          <w:b/>
          <w:color w:val="3E007A"/>
          <w:sz w:val="32"/>
        </w:rPr>
        <w:t xml:space="preserve"> Promote and celebrate the diversity of our borough and foster community cohesion</w:t>
      </w:r>
    </w:p>
    <w:p w14:paraId="3F0D9E2F" w14:textId="77777777" w:rsidR="00752B40" w:rsidRDefault="00752B40" w:rsidP="0070787C">
      <w:pPr>
        <w:jc w:val="both"/>
        <w:rPr>
          <w:b/>
          <w:color w:val="3E007A"/>
          <w:sz w:val="28"/>
        </w:rPr>
      </w:pPr>
    </w:p>
    <w:tbl>
      <w:tblPr>
        <w:tblW w:w="2992" w:type="dxa"/>
        <w:tblInd w:w="93" w:type="dxa"/>
        <w:tblLook w:val="04A0" w:firstRow="1" w:lastRow="0" w:firstColumn="1" w:lastColumn="0" w:noHBand="0" w:noVBand="1"/>
      </w:tblPr>
      <w:tblGrid>
        <w:gridCol w:w="2000"/>
        <w:gridCol w:w="992"/>
      </w:tblGrid>
      <w:tr w:rsidR="00752B40" w:rsidRPr="00CA068E" w14:paraId="3F0D9E32" w14:textId="77777777" w:rsidTr="0099695A">
        <w:trPr>
          <w:trHeight w:val="408"/>
        </w:trPr>
        <w:tc>
          <w:tcPr>
            <w:tcW w:w="2000" w:type="dxa"/>
            <w:tcBorders>
              <w:top w:val="single" w:sz="4" w:space="0" w:color="auto"/>
              <w:left w:val="single" w:sz="4" w:space="0" w:color="auto"/>
              <w:bottom w:val="single" w:sz="4" w:space="0" w:color="auto"/>
              <w:right w:val="single" w:sz="4" w:space="0" w:color="auto"/>
            </w:tcBorders>
            <w:shd w:val="clear" w:color="auto" w:fill="00CC00"/>
            <w:noWrap/>
            <w:vAlign w:val="bottom"/>
            <w:hideMark/>
          </w:tcPr>
          <w:p w14:paraId="3F0D9E30" w14:textId="77777777" w:rsidR="00752B40" w:rsidRPr="00CA068E" w:rsidRDefault="00752B40" w:rsidP="0070787C">
            <w:pPr>
              <w:rPr>
                <w:color w:val="000000"/>
                <w:sz w:val="22"/>
                <w:szCs w:val="22"/>
                <w:lang w:eastAsia="en-GB"/>
              </w:rPr>
            </w:pPr>
            <w:r>
              <w:rPr>
                <w:color w:val="000000"/>
                <w:sz w:val="22"/>
                <w:szCs w:val="22"/>
                <w:lang w:eastAsia="en-GB"/>
              </w:rPr>
              <w:t>Green</w:t>
            </w:r>
          </w:p>
        </w:tc>
        <w:tc>
          <w:tcPr>
            <w:tcW w:w="992" w:type="dxa"/>
            <w:tcBorders>
              <w:top w:val="single" w:sz="4" w:space="0" w:color="auto"/>
              <w:left w:val="nil"/>
              <w:bottom w:val="single" w:sz="4" w:space="0" w:color="auto"/>
              <w:right w:val="single" w:sz="4" w:space="0" w:color="auto"/>
            </w:tcBorders>
            <w:shd w:val="clear" w:color="auto" w:fill="00CC00"/>
            <w:noWrap/>
            <w:vAlign w:val="bottom"/>
          </w:tcPr>
          <w:p w14:paraId="3F0D9E31" w14:textId="77777777" w:rsidR="00752B40" w:rsidRPr="00CA068E" w:rsidRDefault="002F02EB" w:rsidP="0070787C">
            <w:pPr>
              <w:jc w:val="center"/>
              <w:rPr>
                <w:color w:val="000000"/>
                <w:sz w:val="22"/>
                <w:szCs w:val="22"/>
                <w:lang w:eastAsia="en-GB"/>
              </w:rPr>
            </w:pPr>
            <w:r>
              <w:rPr>
                <w:color w:val="000000"/>
                <w:sz w:val="22"/>
                <w:szCs w:val="22"/>
                <w:lang w:eastAsia="en-GB"/>
              </w:rPr>
              <w:t>2</w:t>
            </w:r>
          </w:p>
        </w:tc>
      </w:tr>
      <w:tr w:rsidR="00752B40" w:rsidRPr="00CA068E" w14:paraId="3F0D9E35" w14:textId="77777777" w:rsidTr="0099695A">
        <w:trPr>
          <w:trHeight w:val="384"/>
        </w:trPr>
        <w:tc>
          <w:tcPr>
            <w:tcW w:w="2000" w:type="dxa"/>
            <w:tcBorders>
              <w:top w:val="single" w:sz="4" w:space="0" w:color="auto"/>
              <w:left w:val="single" w:sz="4" w:space="0" w:color="auto"/>
              <w:bottom w:val="single" w:sz="4" w:space="0" w:color="auto"/>
              <w:right w:val="single" w:sz="4" w:space="0" w:color="auto"/>
            </w:tcBorders>
            <w:shd w:val="clear" w:color="auto" w:fill="FF9900"/>
            <w:noWrap/>
            <w:vAlign w:val="bottom"/>
            <w:hideMark/>
          </w:tcPr>
          <w:p w14:paraId="3F0D9E33" w14:textId="77777777" w:rsidR="00752B40" w:rsidRPr="00CA068E" w:rsidRDefault="00752B40" w:rsidP="0070787C">
            <w:pPr>
              <w:rPr>
                <w:color w:val="000000"/>
                <w:sz w:val="22"/>
                <w:szCs w:val="22"/>
                <w:lang w:eastAsia="en-GB"/>
              </w:rPr>
            </w:pPr>
            <w:r>
              <w:rPr>
                <w:color w:val="000000"/>
                <w:sz w:val="22"/>
                <w:szCs w:val="22"/>
                <w:lang w:eastAsia="en-GB"/>
              </w:rPr>
              <w:t>Amber</w:t>
            </w:r>
          </w:p>
        </w:tc>
        <w:tc>
          <w:tcPr>
            <w:tcW w:w="992" w:type="dxa"/>
            <w:tcBorders>
              <w:top w:val="single" w:sz="4" w:space="0" w:color="auto"/>
              <w:left w:val="nil"/>
              <w:bottom w:val="single" w:sz="4" w:space="0" w:color="auto"/>
              <w:right w:val="single" w:sz="4" w:space="0" w:color="auto"/>
            </w:tcBorders>
            <w:shd w:val="clear" w:color="auto" w:fill="FF9900"/>
            <w:noWrap/>
            <w:vAlign w:val="bottom"/>
          </w:tcPr>
          <w:p w14:paraId="3F0D9E34" w14:textId="77777777" w:rsidR="00752B40" w:rsidRPr="00CA068E" w:rsidRDefault="00752B40" w:rsidP="0070787C">
            <w:pPr>
              <w:jc w:val="center"/>
              <w:rPr>
                <w:color w:val="000000"/>
                <w:sz w:val="22"/>
                <w:szCs w:val="22"/>
                <w:lang w:eastAsia="en-GB"/>
              </w:rPr>
            </w:pPr>
          </w:p>
        </w:tc>
      </w:tr>
      <w:tr w:rsidR="00752B40" w:rsidRPr="00CA068E" w14:paraId="3F0D9E38" w14:textId="77777777" w:rsidTr="0099695A">
        <w:trPr>
          <w:trHeight w:val="456"/>
        </w:trPr>
        <w:tc>
          <w:tcPr>
            <w:tcW w:w="2000"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3F0D9E36" w14:textId="77777777" w:rsidR="00752B40" w:rsidRPr="00CA068E" w:rsidRDefault="00752B40" w:rsidP="0070787C">
            <w:pPr>
              <w:rPr>
                <w:color w:val="000000"/>
                <w:sz w:val="22"/>
                <w:szCs w:val="22"/>
                <w:lang w:eastAsia="en-GB"/>
              </w:rPr>
            </w:pPr>
            <w:r>
              <w:rPr>
                <w:color w:val="000000"/>
                <w:sz w:val="22"/>
                <w:szCs w:val="22"/>
                <w:lang w:eastAsia="en-GB"/>
              </w:rPr>
              <w:t>Red</w:t>
            </w:r>
          </w:p>
        </w:tc>
        <w:tc>
          <w:tcPr>
            <w:tcW w:w="992" w:type="dxa"/>
            <w:tcBorders>
              <w:top w:val="single" w:sz="4" w:space="0" w:color="auto"/>
              <w:left w:val="nil"/>
              <w:bottom w:val="single" w:sz="4" w:space="0" w:color="auto"/>
              <w:right w:val="single" w:sz="4" w:space="0" w:color="auto"/>
            </w:tcBorders>
            <w:shd w:val="clear" w:color="auto" w:fill="FF0000"/>
            <w:noWrap/>
            <w:vAlign w:val="bottom"/>
          </w:tcPr>
          <w:p w14:paraId="3F0D9E37" w14:textId="77777777" w:rsidR="00752B40" w:rsidRPr="00CA068E" w:rsidRDefault="002F02EB" w:rsidP="0070787C">
            <w:pPr>
              <w:jc w:val="center"/>
              <w:rPr>
                <w:color w:val="000000"/>
                <w:sz w:val="22"/>
                <w:szCs w:val="22"/>
                <w:lang w:eastAsia="en-GB"/>
              </w:rPr>
            </w:pPr>
            <w:r>
              <w:rPr>
                <w:color w:val="000000"/>
                <w:sz w:val="22"/>
                <w:szCs w:val="22"/>
                <w:lang w:eastAsia="en-GB"/>
              </w:rPr>
              <w:t>1</w:t>
            </w:r>
          </w:p>
        </w:tc>
      </w:tr>
      <w:tr w:rsidR="00752B40" w:rsidRPr="00CA068E" w14:paraId="3F0D9E3A" w14:textId="77777777" w:rsidTr="0099695A">
        <w:trPr>
          <w:trHeight w:val="155"/>
        </w:trPr>
        <w:tc>
          <w:tcPr>
            <w:tcW w:w="29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D9E39" w14:textId="77777777" w:rsidR="00752B40" w:rsidRPr="00CA068E" w:rsidRDefault="00752B40" w:rsidP="0070787C">
            <w:pPr>
              <w:rPr>
                <w:color w:val="000000"/>
                <w:sz w:val="22"/>
                <w:szCs w:val="22"/>
                <w:lang w:eastAsia="en-GB"/>
              </w:rPr>
            </w:pPr>
            <w:r w:rsidRPr="00CA068E">
              <w:rPr>
                <w:color w:val="000000"/>
                <w:sz w:val="22"/>
                <w:szCs w:val="22"/>
                <w:lang w:eastAsia="en-GB"/>
              </w:rPr>
              <w:t> </w:t>
            </w:r>
          </w:p>
        </w:tc>
      </w:tr>
      <w:tr w:rsidR="00752B40" w:rsidRPr="00CA068E" w14:paraId="3F0D9E3D" w14:textId="77777777" w:rsidTr="0099695A">
        <w:trPr>
          <w:trHeight w:val="420"/>
        </w:trPr>
        <w:tc>
          <w:tcPr>
            <w:tcW w:w="2000" w:type="dxa"/>
            <w:tcBorders>
              <w:top w:val="single" w:sz="4" w:space="0" w:color="auto"/>
              <w:left w:val="single" w:sz="4" w:space="0" w:color="auto"/>
              <w:bottom w:val="single" w:sz="4" w:space="0" w:color="auto"/>
              <w:right w:val="single" w:sz="4" w:space="0" w:color="auto"/>
            </w:tcBorders>
            <w:shd w:val="clear" w:color="auto" w:fill="7030A0"/>
            <w:noWrap/>
            <w:vAlign w:val="bottom"/>
            <w:hideMark/>
          </w:tcPr>
          <w:p w14:paraId="3F0D9E3B" w14:textId="77777777" w:rsidR="00752B40" w:rsidRPr="00CD7A99" w:rsidRDefault="00752B40" w:rsidP="0070787C">
            <w:pPr>
              <w:rPr>
                <w:color w:val="FFFFFF"/>
                <w:sz w:val="22"/>
                <w:szCs w:val="22"/>
                <w:lang w:eastAsia="en-GB"/>
              </w:rPr>
            </w:pPr>
            <w:r>
              <w:rPr>
                <w:color w:val="FFFFFF"/>
                <w:sz w:val="22"/>
                <w:szCs w:val="22"/>
                <w:lang w:eastAsia="en-GB"/>
              </w:rPr>
              <w:t>Overall Status</w:t>
            </w:r>
          </w:p>
        </w:tc>
        <w:tc>
          <w:tcPr>
            <w:tcW w:w="992" w:type="dxa"/>
            <w:tcBorders>
              <w:top w:val="nil"/>
              <w:left w:val="nil"/>
              <w:bottom w:val="single" w:sz="4" w:space="0" w:color="auto"/>
              <w:right w:val="single" w:sz="4" w:space="0" w:color="auto"/>
            </w:tcBorders>
            <w:shd w:val="clear" w:color="auto" w:fill="auto"/>
            <w:noWrap/>
            <w:vAlign w:val="bottom"/>
            <w:hideMark/>
          </w:tcPr>
          <w:p w14:paraId="3F0D9E3C" w14:textId="77777777" w:rsidR="00752B40" w:rsidRPr="00C9129C" w:rsidRDefault="002F02EB" w:rsidP="0070787C">
            <w:pPr>
              <w:jc w:val="center"/>
              <w:rPr>
                <w:b/>
                <w:color w:val="000000"/>
                <w:sz w:val="22"/>
                <w:szCs w:val="22"/>
                <w:lang w:eastAsia="en-GB"/>
              </w:rPr>
            </w:pPr>
            <w:r>
              <w:rPr>
                <w:b/>
                <w:color w:val="000000"/>
                <w:sz w:val="22"/>
                <w:szCs w:val="22"/>
                <w:lang w:eastAsia="en-GB"/>
              </w:rPr>
              <w:t>G</w:t>
            </w:r>
          </w:p>
        </w:tc>
      </w:tr>
    </w:tbl>
    <w:p w14:paraId="3F0D9E3E" w14:textId="77777777" w:rsidR="00752B40" w:rsidRPr="005B2A93" w:rsidRDefault="00752B40" w:rsidP="0070787C">
      <w:pPr>
        <w:jc w:val="both"/>
        <w:rPr>
          <w:color w:val="3E007A"/>
        </w:rPr>
      </w:pPr>
    </w:p>
    <w:p w14:paraId="3F0D9E3F" w14:textId="77777777" w:rsidR="005B2A93" w:rsidRDefault="005B2A93" w:rsidP="0070787C">
      <w:pPr>
        <w:jc w:val="both"/>
        <w:rPr>
          <w:b/>
          <w:color w:val="3E007A"/>
          <w:sz w:val="28"/>
        </w:rPr>
      </w:pPr>
      <w:r w:rsidRPr="0035417E">
        <w:rPr>
          <w:b/>
          <w:color w:val="3E007A"/>
          <w:sz w:val="28"/>
        </w:rPr>
        <w:t>Key Highlights:</w:t>
      </w:r>
    </w:p>
    <w:p w14:paraId="3F0D9E41" w14:textId="77777777" w:rsidR="005B2A93" w:rsidRDefault="00F84506" w:rsidP="000B6562">
      <w:pPr>
        <w:pStyle w:val="ListParagraph"/>
        <w:numPr>
          <w:ilvl w:val="0"/>
          <w:numId w:val="24"/>
        </w:numPr>
        <w:jc w:val="both"/>
      </w:pPr>
      <w:r>
        <w:t>Organised a</w:t>
      </w:r>
      <w:r w:rsidR="0035417E">
        <w:t xml:space="preserve"> successful suite of </w:t>
      </w:r>
      <w:r>
        <w:t>diversity events including Black History Month, International Women’s Day, LGBT History Month, Interfaith Week and</w:t>
      </w:r>
      <w:r w:rsidR="0035417E">
        <w:t xml:space="preserve"> </w:t>
      </w:r>
      <w:r>
        <w:t xml:space="preserve">entering </w:t>
      </w:r>
      <w:r w:rsidR="0035417E">
        <w:t xml:space="preserve">a walking group of twenty six staff </w:t>
      </w:r>
      <w:r>
        <w:t xml:space="preserve">and members </w:t>
      </w:r>
      <w:r w:rsidR="0035417E">
        <w:t xml:space="preserve">at  Pride </w:t>
      </w:r>
      <w:r>
        <w:t>in London in 2016</w:t>
      </w:r>
    </w:p>
    <w:p w14:paraId="3F0D9E42" w14:textId="4BC5CCE4" w:rsidR="0035417E" w:rsidRPr="005B2A93" w:rsidRDefault="0035417E" w:rsidP="000B6562">
      <w:pPr>
        <w:pStyle w:val="ListParagraph"/>
        <w:numPr>
          <w:ilvl w:val="0"/>
          <w:numId w:val="24"/>
        </w:numPr>
        <w:jc w:val="both"/>
      </w:pPr>
      <w:r>
        <w:t>Over a thousand people have been given WRAP</w:t>
      </w:r>
      <w:r w:rsidR="00691B93">
        <w:t xml:space="preserve"> (</w:t>
      </w:r>
      <w:r w:rsidR="00691B93">
        <w:t>Workshop to Raise Awareness of Prevent</w:t>
      </w:r>
      <w:r w:rsidR="00691B93">
        <w:t>)</w:t>
      </w:r>
      <w:r>
        <w:t xml:space="preserve"> training</w:t>
      </w:r>
    </w:p>
    <w:p w14:paraId="3F0D9E43" w14:textId="77777777" w:rsidR="005B2A93" w:rsidRPr="005B2A93" w:rsidRDefault="005B2A93" w:rsidP="0070787C">
      <w:pPr>
        <w:jc w:val="both"/>
      </w:pPr>
    </w:p>
    <w:p w14:paraId="3F0D9E44" w14:textId="3D6CB54B" w:rsidR="005B2A93" w:rsidRPr="005B2A93" w:rsidRDefault="005B2A93" w:rsidP="0070787C">
      <w:pPr>
        <w:jc w:val="both"/>
      </w:pPr>
      <w:r w:rsidRPr="00A76CDC">
        <w:t>In the last Report we wanted to undertake a feasibility study to establish a borough wide Diversity Network with statutory partners. This would consist of organisations across Harrow in order to share best practice, skills and experience to proactively promote diversity and communi</w:t>
      </w:r>
      <w:r w:rsidR="0035417E" w:rsidRPr="00A76CDC">
        <w:t xml:space="preserve">ty cohesion within the borough. </w:t>
      </w:r>
      <w:r w:rsidRPr="00A76CDC">
        <w:t>However, it has been difficult to progress this further due to capacity and resource pressures faced by statutory partners.</w:t>
      </w:r>
      <w:r w:rsidR="00A019D7" w:rsidRPr="00A76CDC">
        <w:t xml:space="preserve"> For 2017</w:t>
      </w:r>
      <w:r w:rsidR="001E42AA">
        <w:t>/</w:t>
      </w:r>
      <w:r w:rsidR="00A019D7" w:rsidRPr="00A76CDC">
        <w:t>18 we propose building on the knowledge and networks of existing community groups and formalising this relationship in order to share best practice and promote diversity and commun</w:t>
      </w:r>
      <w:r w:rsidR="00975AE4" w:rsidRPr="00A76CDC">
        <w:t>ity cohesion within the borough</w:t>
      </w:r>
      <w:r w:rsidR="003F6694" w:rsidRPr="00A76CDC">
        <w:t>.</w:t>
      </w:r>
    </w:p>
    <w:p w14:paraId="3F0D9E45" w14:textId="77777777" w:rsidR="005B2A93" w:rsidRPr="005B2A93" w:rsidRDefault="005B2A93" w:rsidP="0070787C">
      <w:pPr>
        <w:jc w:val="both"/>
      </w:pPr>
    </w:p>
    <w:p w14:paraId="3F0D9E46" w14:textId="77777777" w:rsidR="008B61BE" w:rsidRDefault="000F5472" w:rsidP="0070787C">
      <w:pPr>
        <w:jc w:val="both"/>
      </w:pPr>
      <w:r>
        <w:t xml:space="preserve">In July 2016, the Council participated in Pride in London, and entered </w:t>
      </w:r>
      <w:r w:rsidR="005B2A93" w:rsidRPr="005B2A93">
        <w:t xml:space="preserve">a walking group of twenty six </w:t>
      </w:r>
      <w:r>
        <w:t>in the march for the very first time</w:t>
      </w:r>
      <w:r w:rsidR="005B2A93" w:rsidRPr="005B2A93">
        <w:t>. In addition to this, a successful LGBT programme of event</w:t>
      </w:r>
      <w:r>
        <w:t>s has been agreed and launched.</w:t>
      </w:r>
    </w:p>
    <w:p w14:paraId="48798FEC" w14:textId="77777777" w:rsidR="00C4209F" w:rsidRDefault="00C4209F" w:rsidP="0070787C">
      <w:pPr>
        <w:jc w:val="both"/>
        <w:rPr>
          <w:b/>
        </w:rPr>
      </w:pPr>
    </w:p>
    <w:p w14:paraId="42397CC0" w14:textId="77777777" w:rsidR="0016414F" w:rsidRDefault="0016414F" w:rsidP="0070787C">
      <w:pPr>
        <w:jc w:val="both"/>
        <w:rPr>
          <w:b/>
        </w:rPr>
      </w:pPr>
    </w:p>
    <w:p w14:paraId="3273B4E2" w14:textId="77777777" w:rsidR="0016414F" w:rsidRDefault="0016414F" w:rsidP="0070787C">
      <w:pPr>
        <w:jc w:val="both"/>
        <w:rPr>
          <w:b/>
        </w:rPr>
      </w:pPr>
    </w:p>
    <w:p w14:paraId="1BEF017E" w14:textId="77777777" w:rsidR="0016414F" w:rsidRDefault="0016414F" w:rsidP="0070787C">
      <w:pPr>
        <w:jc w:val="both"/>
        <w:rPr>
          <w:b/>
        </w:rPr>
      </w:pPr>
    </w:p>
    <w:p w14:paraId="3B190BE0" w14:textId="77777777" w:rsidR="0016414F" w:rsidRDefault="0016414F" w:rsidP="0070787C">
      <w:pPr>
        <w:jc w:val="both"/>
        <w:rPr>
          <w:b/>
        </w:rPr>
      </w:pPr>
    </w:p>
    <w:p w14:paraId="4AE966B1" w14:textId="77777777" w:rsidR="0016414F" w:rsidRDefault="0016414F" w:rsidP="0070787C">
      <w:pPr>
        <w:jc w:val="both"/>
        <w:rPr>
          <w:b/>
        </w:rPr>
      </w:pPr>
    </w:p>
    <w:p w14:paraId="771577BA" w14:textId="77777777" w:rsidR="0016414F" w:rsidRDefault="0016414F" w:rsidP="0070787C">
      <w:pPr>
        <w:jc w:val="both"/>
        <w:rPr>
          <w:b/>
        </w:rPr>
      </w:pPr>
    </w:p>
    <w:p w14:paraId="3F0D9E51" w14:textId="77777777" w:rsidR="008B61BE" w:rsidRDefault="008B61BE" w:rsidP="0070787C">
      <w:pPr>
        <w:jc w:val="both"/>
      </w:pPr>
      <w:r w:rsidRPr="000874F6">
        <w:rPr>
          <w:b/>
        </w:rPr>
        <w:t>Celebrating LGBT History month</w:t>
      </w:r>
      <w:r w:rsidRPr="000874F6">
        <w:t xml:space="preserve"> </w:t>
      </w:r>
    </w:p>
    <w:p w14:paraId="3F0D9E52" w14:textId="77777777" w:rsidR="00784F80" w:rsidRDefault="00784F80" w:rsidP="0070787C">
      <w:pPr>
        <w:jc w:val="both"/>
      </w:pPr>
    </w:p>
    <w:p w14:paraId="3F0D9E53" w14:textId="77777777" w:rsidR="001D06F5" w:rsidRDefault="001D06F5" w:rsidP="0070787C">
      <w:pPr>
        <w:jc w:val="both"/>
      </w:pPr>
      <w:r>
        <w:rPr>
          <w:noProof/>
          <w:lang w:eastAsia="en-GB"/>
        </w:rPr>
        <w:drawing>
          <wp:inline distT="0" distB="0" distL="0" distR="0" wp14:anchorId="3F0D9F60" wp14:editId="3F0D9F61">
            <wp:extent cx="3530009" cy="2351863"/>
            <wp:effectExtent l="0" t="0" r="0" b="0"/>
            <wp:docPr id="12" name="Picture 12" descr="C:\Users\sdar\AppData\Local\Microsoft\Windows\INetCache\IE\6WM9T14D\marcha-LGB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dar\AppData\Local\Microsoft\Windows\INetCache\IE\6WM9T14D\marcha-LGBT[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9997" cy="2351855"/>
                    </a:xfrm>
                    <a:prstGeom prst="rect">
                      <a:avLst/>
                    </a:prstGeom>
                    <a:noFill/>
                    <a:ln>
                      <a:noFill/>
                    </a:ln>
                  </pic:spPr>
                </pic:pic>
              </a:graphicData>
            </a:graphic>
          </wp:inline>
        </w:drawing>
      </w:r>
    </w:p>
    <w:p w14:paraId="3F0D9E54" w14:textId="77777777" w:rsidR="001D06F5" w:rsidRPr="000874F6" w:rsidRDefault="001D06F5" w:rsidP="0070787C">
      <w:pPr>
        <w:jc w:val="both"/>
      </w:pPr>
    </w:p>
    <w:p w14:paraId="3F0D9E55" w14:textId="77777777" w:rsidR="008B61BE" w:rsidRPr="000874F6" w:rsidRDefault="008B61BE" w:rsidP="0070787C">
      <w:pPr>
        <w:jc w:val="both"/>
      </w:pPr>
      <w:r w:rsidRPr="000874F6">
        <w:t xml:space="preserve">In February this year the Council officially celebrated LGBT History Month. The event featured a screening of the film ‘Carol’, stalls and talks, including from Tony Fenwick from Schools </w:t>
      </w:r>
      <w:proofErr w:type="gramStart"/>
      <w:r w:rsidRPr="000874F6">
        <w:t>Out</w:t>
      </w:r>
      <w:proofErr w:type="gramEnd"/>
      <w:r w:rsidRPr="000874F6">
        <w:t xml:space="preserve"> UK, the organisation that founded LGBT History Month in the UK</w:t>
      </w:r>
      <w:r w:rsidR="007A74E6" w:rsidRPr="000874F6">
        <w:t>.</w:t>
      </w:r>
      <w:r w:rsidR="000874F6" w:rsidRPr="000874F6">
        <w:t xml:space="preserve"> </w:t>
      </w:r>
    </w:p>
    <w:p w14:paraId="3F0D9E5F" w14:textId="77777777" w:rsidR="00784F80" w:rsidRDefault="00784F80" w:rsidP="0070787C">
      <w:pPr>
        <w:jc w:val="both"/>
        <w:rPr>
          <w:b/>
        </w:rPr>
      </w:pPr>
    </w:p>
    <w:p w14:paraId="76C75D30" w14:textId="77777777" w:rsidR="00C4209F" w:rsidRDefault="00C4209F" w:rsidP="0070787C">
      <w:pPr>
        <w:jc w:val="both"/>
        <w:rPr>
          <w:b/>
        </w:rPr>
      </w:pPr>
    </w:p>
    <w:p w14:paraId="594EF8EA" w14:textId="77777777" w:rsidR="00C4209F" w:rsidRDefault="00C4209F" w:rsidP="0070787C">
      <w:pPr>
        <w:jc w:val="both"/>
        <w:rPr>
          <w:b/>
        </w:rPr>
      </w:pPr>
    </w:p>
    <w:p w14:paraId="45B01A39" w14:textId="77777777" w:rsidR="00C4209F" w:rsidRDefault="00C4209F" w:rsidP="0070787C">
      <w:pPr>
        <w:jc w:val="both"/>
        <w:rPr>
          <w:b/>
        </w:rPr>
      </w:pPr>
    </w:p>
    <w:p w14:paraId="0FEAE828" w14:textId="77777777" w:rsidR="00C4209F" w:rsidRDefault="00C4209F" w:rsidP="0070787C">
      <w:pPr>
        <w:jc w:val="both"/>
        <w:rPr>
          <w:b/>
        </w:rPr>
      </w:pPr>
    </w:p>
    <w:p w14:paraId="0ADC2038" w14:textId="77777777" w:rsidR="00C4209F" w:rsidRDefault="00C4209F" w:rsidP="0070787C">
      <w:pPr>
        <w:jc w:val="both"/>
        <w:rPr>
          <w:b/>
        </w:rPr>
      </w:pPr>
    </w:p>
    <w:p w14:paraId="39CCB7D2" w14:textId="77777777" w:rsidR="00C4209F" w:rsidRDefault="00C4209F" w:rsidP="0070787C">
      <w:pPr>
        <w:jc w:val="both"/>
        <w:rPr>
          <w:b/>
        </w:rPr>
      </w:pPr>
    </w:p>
    <w:p w14:paraId="3F0D9E61" w14:textId="3F91A981" w:rsidR="001D06F5" w:rsidRDefault="000874F6" w:rsidP="0070787C">
      <w:pPr>
        <w:jc w:val="both"/>
        <w:rPr>
          <w:b/>
        </w:rPr>
      </w:pPr>
      <w:r w:rsidRPr="000874F6">
        <w:rPr>
          <w:b/>
        </w:rPr>
        <w:t>Celebrating Black History month</w:t>
      </w:r>
    </w:p>
    <w:p w14:paraId="645ACFA0" w14:textId="77777777" w:rsidR="00C4209F" w:rsidRDefault="00C4209F" w:rsidP="0070787C">
      <w:pPr>
        <w:jc w:val="both"/>
        <w:rPr>
          <w:b/>
        </w:rPr>
      </w:pPr>
    </w:p>
    <w:p w14:paraId="3F0D9E62" w14:textId="77777777" w:rsidR="001D06F5" w:rsidRDefault="001D06F5" w:rsidP="0070787C">
      <w:pPr>
        <w:jc w:val="both"/>
        <w:rPr>
          <w:b/>
        </w:rPr>
      </w:pPr>
      <w:r>
        <w:rPr>
          <w:b/>
          <w:noProof/>
          <w:lang w:eastAsia="en-GB"/>
        </w:rPr>
        <w:drawing>
          <wp:inline distT="0" distB="0" distL="0" distR="0" wp14:anchorId="3F0D9F62" wp14:editId="3D15576A">
            <wp:extent cx="2495668" cy="1286540"/>
            <wp:effectExtent l="0" t="0" r="0" b="8890"/>
            <wp:docPr id="13" name="Picture 13" descr="C:\Users\sdar\AppData\Local\Microsoft\Windows\INetCache\IE\BTHL3GAR\african_american_mon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dar\AppData\Local\Microsoft\Windows\INetCache\IE\BTHL3GAR\african_american_month[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693" cy="1286553"/>
                    </a:xfrm>
                    <a:prstGeom prst="rect">
                      <a:avLst/>
                    </a:prstGeom>
                    <a:noFill/>
                    <a:ln>
                      <a:noFill/>
                    </a:ln>
                  </pic:spPr>
                </pic:pic>
              </a:graphicData>
            </a:graphic>
          </wp:inline>
        </w:drawing>
      </w:r>
    </w:p>
    <w:p w14:paraId="3F0D9E63" w14:textId="77777777" w:rsidR="001D06F5" w:rsidRPr="000874F6" w:rsidRDefault="001D06F5" w:rsidP="0070787C">
      <w:pPr>
        <w:jc w:val="both"/>
        <w:rPr>
          <w:b/>
        </w:rPr>
      </w:pPr>
    </w:p>
    <w:p w14:paraId="3F0D9E64" w14:textId="77777777" w:rsidR="000874F6" w:rsidRPr="003F6694" w:rsidRDefault="000874F6" w:rsidP="0070787C">
      <w:pPr>
        <w:jc w:val="both"/>
        <w:rPr>
          <w:rFonts w:eastAsia="Calibri"/>
          <w:lang w:eastAsia="en-GB"/>
        </w:rPr>
      </w:pPr>
      <w:r w:rsidRPr="003F6694">
        <w:rPr>
          <w:rFonts w:eastAsia="Calibri"/>
          <w:lang w:eastAsia="en-GB"/>
        </w:rPr>
        <w:t xml:space="preserve">In Harrow we proudly celebrate Black History month. The event was launched by the Chief Executive and Councillor Varsha </w:t>
      </w:r>
      <w:proofErr w:type="spellStart"/>
      <w:r w:rsidRPr="003F6694">
        <w:rPr>
          <w:rFonts w:eastAsia="Calibri"/>
          <w:lang w:eastAsia="en-GB"/>
        </w:rPr>
        <w:t>Parmer</w:t>
      </w:r>
      <w:proofErr w:type="spellEnd"/>
      <w:r w:rsidRPr="003F6694">
        <w:rPr>
          <w:rFonts w:eastAsia="Calibri"/>
          <w:lang w:eastAsia="en-GB"/>
        </w:rPr>
        <w:t xml:space="preserve">, portfolio holder for equalities, who talked about the personal impact of inspirational figures such as Nelson Mandela, Michael Jackson and Martin Luther King. Black History Month was an opportunity to remember those who have fought for a more equal and progressive society. It was also a great opportunity to learn more about the rich history and heritage of the Afro-Caribbean community. Thanks to the Making a Difference Group, Council staff enjoyed a wide range of BHM events – with a focus on Black British Music, which included wonderful performances by staff group, </w:t>
      </w:r>
      <w:proofErr w:type="spellStart"/>
      <w:r w:rsidRPr="003F6694">
        <w:rPr>
          <w:rFonts w:eastAsia="Calibri"/>
          <w:lang w:eastAsia="en-GB"/>
        </w:rPr>
        <w:t>Ellensi</w:t>
      </w:r>
      <w:proofErr w:type="spellEnd"/>
      <w:r w:rsidRPr="003F6694">
        <w:rPr>
          <w:rFonts w:eastAsia="Calibri"/>
          <w:lang w:eastAsia="en-GB"/>
        </w:rPr>
        <w:t xml:space="preserve">, a debate facilitated by Social Rights activist, </w:t>
      </w:r>
      <w:proofErr w:type="spellStart"/>
      <w:r w:rsidRPr="003F6694">
        <w:rPr>
          <w:rFonts w:eastAsia="Calibri"/>
          <w:lang w:eastAsia="en-GB"/>
        </w:rPr>
        <w:t>Toyin</w:t>
      </w:r>
      <w:proofErr w:type="spellEnd"/>
      <w:r w:rsidRPr="003F6694">
        <w:rPr>
          <w:rFonts w:eastAsia="Calibri"/>
          <w:lang w:eastAsia="en-GB"/>
        </w:rPr>
        <w:t xml:space="preserve"> </w:t>
      </w:r>
      <w:proofErr w:type="spellStart"/>
      <w:r w:rsidRPr="003F6694">
        <w:rPr>
          <w:rFonts w:eastAsia="Calibri"/>
          <w:lang w:eastAsia="en-GB"/>
        </w:rPr>
        <w:t>Agbetu</w:t>
      </w:r>
      <w:proofErr w:type="spellEnd"/>
      <w:r w:rsidRPr="003F6694">
        <w:rPr>
          <w:rFonts w:eastAsia="Calibri"/>
          <w:lang w:eastAsia="en-GB"/>
        </w:rPr>
        <w:t xml:space="preserve"> and a fun, interactive quiz about Black role models.</w:t>
      </w:r>
    </w:p>
    <w:p w14:paraId="3F0D9E65" w14:textId="77777777" w:rsidR="0070787C" w:rsidRDefault="00617300" w:rsidP="00617300">
      <w:pPr>
        <w:rPr>
          <w:color w:val="3E007A"/>
        </w:rPr>
        <w:sectPr w:rsidR="0070787C" w:rsidSect="0070787C">
          <w:type w:val="continuous"/>
          <w:pgSz w:w="16838" w:h="11906" w:orient="landscape"/>
          <w:pgMar w:top="1440" w:right="1440" w:bottom="1440" w:left="1440" w:header="708" w:footer="708" w:gutter="0"/>
          <w:cols w:num="2" w:space="708"/>
          <w:docGrid w:linePitch="360"/>
        </w:sectPr>
      </w:pPr>
      <w:r>
        <w:rPr>
          <w:color w:val="3E007A"/>
        </w:rPr>
        <w:br w:type="page"/>
      </w:r>
    </w:p>
    <w:p w14:paraId="3F0D9E66" w14:textId="77777777" w:rsidR="007B5D1E" w:rsidRPr="00797ACB" w:rsidRDefault="007B5D1E" w:rsidP="00617300">
      <w:pPr>
        <w:rPr>
          <w:b/>
          <w:color w:val="3E007A"/>
        </w:rPr>
      </w:pPr>
      <w:r w:rsidRPr="00797ACB">
        <w:rPr>
          <w:b/>
          <w:color w:val="3E007A"/>
        </w:rPr>
        <w:t>Appendix 1 – Corporate Equality &amp; Diversity Performance Targets 2015/16</w:t>
      </w:r>
    </w:p>
    <w:p w14:paraId="3F0D9E67" w14:textId="77777777" w:rsidR="007B5D1E" w:rsidRPr="00B315E6" w:rsidRDefault="007B5D1E" w:rsidP="007B5D1E">
      <w:pPr>
        <w:ind w:left="-567"/>
        <w:rPr>
          <w:color w:val="3E007A"/>
        </w:rPr>
      </w:pPr>
    </w:p>
    <w:tbl>
      <w:tblPr>
        <w:tblW w:w="15168" w:type="dxa"/>
        <w:tblInd w:w="-459" w:type="dxa"/>
        <w:tblLayout w:type="fixed"/>
        <w:tblLook w:val="04A0" w:firstRow="1" w:lastRow="0" w:firstColumn="1" w:lastColumn="0" w:noHBand="0" w:noVBand="1"/>
      </w:tblPr>
      <w:tblGrid>
        <w:gridCol w:w="5386"/>
        <w:gridCol w:w="1134"/>
        <w:gridCol w:w="1133"/>
        <w:gridCol w:w="993"/>
        <w:gridCol w:w="6522"/>
      </w:tblGrid>
      <w:tr w:rsidR="007B5D1E" w:rsidRPr="00B315E6" w14:paraId="3F0D9E6F" w14:textId="77777777" w:rsidTr="0099695A">
        <w:trPr>
          <w:trHeight w:val="525"/>
          <w:tblHeader/>
        </w:trPr>
        <w:tc>
          <w:tcPr>
            <w:tcW w:w="5387" w:type="dxa"/>
            <w:tcBorders>
              <w:top w:val="single" w:sz="4" w:space="0" w:color="60497A"/>
              <w:left w:val="single" w:sz="4" w:space="0" w:color="60497A"/>
              <w:bottom w:val="single" w:sz="12" w:space="0" w:color="60497A"/>
              <w:right w:val="single" w:sz="8" w:space="0" w:color="60497A"/>
            </w:tcBorders>
            <w:shd w:val="clear" w:color="000000" w:fill="7030A0"/>
            <w:hideMark/>
          </w:tcPr>
          <w:p w14:paraId="3F0D9E68" w14:textId="77777777" w:rsidR="007B5D1E" w:rsidRPr="00B315E6" w:rsidRDefault="007B5D1E" w:rsidP="0099695A">
            <w:pPr>
              <w:jc w:val="center"/>
              <w:rPr>
                <w:b/>
                <w:bCs/>
                <w:color w:val="FFFFFF"/>
                <w:lang w:eastAsia="en-GB"/>
              </w:rPr>
            </w:pPr>
            <w:r w:rsidRPr="00B315E6">
              <w:rPr>
                <w:b/>
                <w:bCs/>
                <w:color w:val="FFFFFF"/>
                <w:lang w:eastAsia="en-GB"/>
              </w:rPr>
              <w:t xml:space="preserve">Measure </w:t>
            </w:r>
          </w:p>
        </w:tc>
        <w:tc>
          <w:tcPr>
            <w:tcW w:w="1134" w:type="dxa"/>
            <w:tcBorders>
              <w:top w:val="single" w:sz="4" w:space="0" w:color="60497A"/>
              <w:left w:val="nil"/>
              <w:bottom w:val="single" w:sz="12" w:space="0" w:color="60497A"/>
              <w:right w:val="single" w:sz="4" w:space="0" w:color="60497A"/>
            </w:tcBorders>
            <w:shd w:val="clear" w:color="000000" w:fill="7030A0"/>
            <w:hideMark/>
          </w:tcPr>
          <w:p w14:paraId="3F0D9E69" w14:textId="77777777" w:rsidR="007B5D1E" w:rsidRPr="00B315E6" w:rsidRDefault="007B5D1E" w:rsidP="0099695A">
            <w:pPr>
              <w:ind w:left="-108"/>
              <w:jc w:val="center"/>
              <w:rPr>
                <w:b/>
                <w:bCs/>
                <w:color w:val="FFFFFF"/>
                <w:lang w:eastAsia="en-GB"/>
              </w:rPr>
            </w:pPr>
            <w:r w:rsidRPr="00B315E6">
              <w:rPr>
                <w:b/>
                <w:bCs/>
                <w:color w:val="FFFFFF"/>
                <w:lang w:eastAsia="en-GB"/>
              </w:rPr>
              <w:t>Target</w:t>
            </w:r>
          </w:p>
          <w:p w14:paraId="3F0D9E6A" w14:textId="77777777" w:rsidR="007B5D1E" w:rsidRPr="00B315E6" w:rsidRDefault="007B5D1E" w:rsidP="0099695A">
            <w:pPr>
              <w:ind w:left="-108"/>
              <w:jc w:val="center"/>
              <w:rPr>
                <w:b/>
                <w:bCs/>
                <w:color w:val="FFFFFF"/>
                <w:lang w:eastAsia="en-GB"/>
              </w:rPr>
            </w:pPr>
            <w:r>
              <w:rPr>
                <w:b/>
                <w:bCs/>
                <w:color w:val="FFFFFF"/>
                <w:lang w:eastAsia="en-GB"/>
              </w:rPr>
              <w:t>2016/17</w:t>
            </w:r>
          </w:p>
        </w:tc>
        <w:tc>
          <w:tcPr>
            <w:tcW w:w="1133" w:type="dxa"/>
            <w:tcBorders>
              <w:top w:val="single" w:sz="4" w:space="0" w:color="60497A"/>
              <w:left w:val="nil"/>
              <w:bottom w:val="single" w:sz="12" w:space="0" w:color="60497A"/>
              <w:right w:val="single" w:sz="4" w:space="0" w:color="60497A"/>
            </w:tcBorders>
            <w:shd w:val="clear" w:color="000000" w:fill="7030A0"/>
            <w:hideMark/>
          </w:tcPr>
          <w:p w14:paraId="3F0D9E6B" w14:textId="77777777" w:rsidR="007B5D1E" w:rsidRPr="00B315E6" w:rsidRDefault="007B5D1E" w:rsidP="0099695A">
            <w:pPr>
              <w:ind w:left="-108"/>
              <w:jc w:val="center"/>
              <w:rPr>
                <w:b/>
                <w:bCs/>
                <w:color w:val="FFFFFF"/>
                <w:lang w:eastAsia="en-GB"/>
              </w:rPr>
            </w:pPr>
            <w:r w:rsidRPr="00B315E6">
              <w:rPr>
                <w:b/>
                <w:bCs/>
                <w:color w:val="FFFFFF"/>
                <w:lang w:eastAsia="en-GB"/>
              </w:rPr>
              <w:t>Actual</w:t>
            </w:r>
          </w:p>
          <w:p w14:paraId="3F0D9E6C" w14:textId="77777777" w:rsidR="007B5D1E" w:rsidRPr="00B315E6" w:rsidRDefault="007B5D1E" w:rsidP="0099695A">
            <w:pPr>
              <w:ind w:left="-108"/>
              <w:jc w:val="center"/>
              <w:rPr>
                <w:b/>
                <w:bCs/>
                <w:color w:val="FFFFFF"/>
                <w:lang w:eastAsia="en-GB"/>
              </w:rPr>
            </w:pPr>
            <w:r>
              <w:rPr>
                <w:b/>
                <w:bCs/>
                <w:color w:val="FFFFFF"/>
                <w:lang w:eastAsia="en-GB"/>
              </w:rPr>
              <w:t>2016/17</w:t>
            </w:r>
          </w:p>
        </w:tc>
        <w:tc>
          <w:tcPr>
            <w:tcW w:w="992" w:type="dxa"/>
            <w:tcBorders>
              <w:top w:val="single" w:sz="4" w:space="0" w:color="60497A"/>
              <w:left w:val="nil"/>
              <w:bottom w:val="single" w:sz="12" w:space="0" w:color="60497A"/>
              <w:right w:val="single" w:sz="8" w:space="0" w:color="60497A"/>
            </w:tcBorders>
            <w:shd w:val="clear" w:color="000000" w:fill="7030A0"/>
            <w:hideMark/>
          </w:tcPr>
          <w:p w14:paraId="3F0D9E6D" w14:textId="77777777" w:rsidR="007B5D1E" w:rsidRPr="00B46282" w:rsidRDefault="007B5D1E" w:rsidP="0099695A">
            <w:pPr>
              <w:ind w:left="-108"/>
              <w:jc w:val="center"/>
              <w:rPr>
                <w:b/>
                <w:bCs/>
                <w:color w:val="FFFFFF" w:themeColor="background1"/>
                <w:lang w:eastAsia="en-GB"/>
              </w:rPr>
            </w:pPr>
            <w:r w:rsidRPr="00B46282">
              <w:rPr>
                <w:b/>
                <w:bCs/>
                <w:color w:val="FFFFFF" w:themeColor="background1"/>
                <w:lang w:eastAsia="en-GB"/>
              </w:rPr>
              <w:t>RAG Status</w:t>
            </w:r>
          </w:p>
        </w:tc>
        <w:tc>
          <w:tcPr>
            <w:tcW w:w="6522" w:type="dxa"/>
            <w:tcBorders>
              <w:top w:val="single" w:sz="4" w:space="0" w:color="60497A"/>
              <w:left w:val="nil"/>
              <w:bottom w:val="single" w:sz="12" w:space="0" w:color="60497A"/>
              <w:right w:val="single" w:sz="8" w:space="0" w:color="60497A"/>
            </w:tcBorders>
            <w:shd w:val="clear" w:color="000000" w:fill="7030A0"/>
          </w:tcPr>
          <w:p w14:paraId="3F0D9E6E" w14:textId="77777777" w:rsidR="007B5D1E" w:rsidRPr="0034751A" w:rsidRDefault="007B5D1E" w:rsidP="0034751A">
            <w:pPr>
              <w:ind w:left="-108"/>
              <w:rPr>
                <w:b/>
                <w:color w:val="FFFFFF"/>
              </w:rPr>
            </w:pPr>
            <w:r w:rsidRPr="00B315E6">
              <w:rPr>
                <w:b/>
                <w:color w:val="FFFFFF"/>
              </w:rPr>
              <w:t>Comments (include comparisons against National Average and Neighbouring Borough(s) where available)</w:t>
            </w:r>
          </w:p>
        </w:tc>
      </w:tr>
      <w:tr w:rsidR="00F958C1" w:rsidRPr="00F958C1" w14:paraId="3F0D9E71" w14:textId="77777777" w:rsidTr="00F958C1">
        <w:trPr>
          <w:trHeight w:val="525"/>
        </w:trPr>
        <w:tc>
          <w:tcPr>
            <w:tcW w:w="15168" w:type="dxa"/>
            <w:gridSpan w:val="5"/>
            <w:tcBorders>
              <w:top w:val="single" w:sz="4" w:space="0" w:color="auto"/>
              <w:left w:val="single" w:sz="4" w:space="0" w:color="auto"/>
              <w:bottom w:val="single" w:sz="4" w:space="0" w:color="auto"/>
              <w:right w:val="single" w:sz="4" w:space="0" w:color="auto"/>
            </w:tcBorders>
            <w:shd w:val="clear" w:color="000000" w:fill="CCC0DA"/>
            <w:vAlign w:val="center"/>
          </w:tcPr>
          <w:p w14:paraId="3F0D9E70" w14:textId="77777777" w:rsidR="007B5D1E" w:rsidRPr="00F958C1" w:rsidRDefault="00617300" w:rsidP="00F958C1">
            <w:pPr>
              <w:rPr>
                <w:b/>
                <w:sz w:val="28"/>
              </w:rPr>
            </w:pPr>
            <w:r w:rsidRPr="00F958C1">
              <w:rPr>
                <w:b/>
                <w:sz w:val="28"/>
              </w:rPr>
              <w:t>Objective 1: An inclusive workforce that feels valued, respected and reflects our community</w:t>
            </w:r>
          </w:p>
        </w:tc>
      </w:tr>
      <w:tr w:rsidR="00617300" w:rsidRPr="00B315E6" w14:paraId="3F0D9E79" w14:textId="77777777" w:rsidTr="0099695A">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72" w14:textId="45E594DE" w:rsidR="001F1260" w:rsidRDefault="00617300" w:rsidP="001F1260">
            <w:r w:rsidRPr="003357F9">
              <w:t xml:space="preserve">Improve on our position in </w:t>
            </w:r>
            <w:proofErr w:type="spellStart"/>
            <w:r w:rsidRPr="003357F9">
              <w:t>Stonewall</w:t>
            </w:r>
            <w:r w:rsidR="0058185B">
              <w:t>’</w:t>
            </w:r>
            <w:r w:rsidRPr="003357F9">
              <w:t>s</w:t>
            </w:r>
            <w:proofErr w:type="spellEnd"/>
            <w:r w:rsidRPr="003357F9">
              <w:t xml:space="preserve"> Workpl</w:t>
            </w:r>
            <w:r w:rsidR="001F1260">
              <w:t>ace Index</w:t>
            </w:r>
            <w:r w:rsidR="00955CCE">
              <w:t xml:space="preserve"> (W</w:t>
            </w:r>
            <w:r w:rsidR="0058185B">
              <w:t>I)</w:t>
            </w:r>
          </w:p>
          <w:p w14:paraId="3F0D9E73" w14:textId="77777777" w:rsidR="00617300" w:rsidRPr="001F1260" w:rsidRDefault="001F1260" w:rsidP="001F1260">
            <w:pPr>
              <w:pStyle w:val="ListParagraph"/>
              <w:numPr>
                <w:ilvl w:val="0"/>
                <w:numId w:val="16"/>
              </w:numPr>
            </w:pPr>
            <w:r>
              <w:t>KPI – Achieving a top 200 place in the workplace index in 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74" w14:textId="77777777" w:rsidR="00617300" w:rsidRPr="00B315E6" w:rsidRDefault="00BC21C6" w:rsidP="00617300">
            <w:pPr>
              <w:spacing w:line="276" w:lineRule="auto"/>
              <w:ind w:left="-108"/>
              <w:jc w:val="center"/>
              <w:rPr>
                <w:rFonts w:eastAsia="Calibri"/>
              </w:rPr>
            </w:pPr>
            <w:r>
              <w:rPr>
                <w:rFonts w:eastAsia="Calibri"/>
              </w:rPr>
              <w:t>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75" w14:textId="77777777" w:rsidR="00617300" w:rsidRPr="00B315E6" w:rsidRDefault="00BC21C6" w:rsidP="00617300">
            <w:pPr>
              <w:spacing w:line="276" w:lineRule="auto"/>
              <w:ind w:left="-108"/>
              <w:jc w:val="center"/>
              <w:rPr>
                <w:rFonts w:eastAsia="Calibri"/>
              </w:rPr>
            </w:pPr>
            <w:r>
              <w:rPr>
                <w:rFonts w:eastAsia="Calibri"/>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D9E76" w14:textId="0203A087" w:rsidR="00617300" w:rsidRPr="00B46282" w:rsidRDefault="00691B93" w:rsidP="00B46282">
            <w:pPr>
              <w:spacing w:line="276" w:lineRule="auto"/>
              <w:ind w:left="-108"/>
              <w:jc w:val="center"/>
              <w:rPr>
                <w:rFonts w:eastAsia="Calibri"/>
                <w:b/>
              </w:rPr>
            </w:pPr>
            <w:r>
              <w:rPr>
                <w:rFonts w:eastAsia="Calibri"/>
                <w:b/>
              </w:rPr>
              <w:t>HG</w:t>
            </w:r>
          </w:p>
        </w:tc>
        <w:tc>
          <w:tcPr>
            <w:tcW w:w="6522" w:type="dxa"/>
            <w:tcBorders>
              <w:top w:val="single" w:sz="4" w:space="0" w:color="auto"/>
              <w:left w:val="single" w:sz="4" w:space="0" w:color="auto"/>
              <w:bottom w:val="single" w:sz="4" w:space="0" w:color="auto"/>
              <w:right w:val="single" w:sz="4" w:space="0" w:color="auto"/>
            </w:tcBorders>
          </w:tcPr>
          <w:p w14:paraId="3F0D9E77" w14:textId="77777777" w:rsidR="00617300" w:rsidRDefault="00617300" w:rsidP="00617300">
            <w:r>
              <w:t>The Council achieved 153</w:t>
            </w:r>
            <w:r w:rsidRPr="00AE3A79">
              <w:rPr>
                <w:vertAlign w:val="superscript"/>
              </w:rPr>
              <w:t>rd</w:t>
            </w:r>
            <w:r>
              <w:t xml:space="preserve"> position in the WEI and was confirmed as the most improved organisation. </w:t>
            </w:r>
          </w:p>
          <w:p w14:paraId="3F0D9E78" w14:textId="77777777" w:rsidR="00617300" w:rsidRPr="00B315E6" w:rsidRDefault="00617300" w:rsidP="0099695A">
            <w:pPr>
              <w:spacing w:line="276" w:lineRule="auto"/>
              <w:ind w:left="-108"/>
              <w:rPr>
                <w:rFonts w:eastAsia="Calibri"/>
              </w:rPr>
            </w:pPr>
          </w:p>
        </w:tc>
      </w:tr>
      <w:tr w:rsidR="001F1260" w:rsidRPr="00B315E6" w14:paraId="3F0D9E80" w14:textId="77777777" w:rsidTr="001F1260">
        <w:trPr>
          <w:trHeight w:val="1309"/>
        </w:trPr>
        <w:tc>
          <w:tcPr>
            <w:tcW w:w="5387" w:type="dxa"/>
            <w:vMerge w:val="restart"/>
            <w:tcBorders>
              <w:top w:val="single" w:sz="4" w:space="0" w:color="auto"/>
              <w:left w:val="single" w:sz="4" w:space="0" w:color="auto"/>
              <w:right w:val="single" w:sz="4" w:space="0" w:color="auto"/>
            </w:tcBorders>
            <w:shd w:val="clear" w:color="auto" w:fill="auto"/>
          </w:tcPr>
          <w:p w14:paraId="3F0D9E7A" w14:textId="77777777" w:rsidR="001F1260" w:rsidRPr="00BC21C6" w:rsidRDefault="001F1260" w:rsidP="00BC21C6">
            <w:r w:rsidRPr="003357F9">
              <w:t>Achieve</w:t>
            </w:r>
            <w:r w:rsidRPr="00D434DA">
              <w:t xml:space="preserve"> a more comprehensive profile of the workforce by improving the reporting and recording of protected characteristics, particularly di</w:t>
            </w:r>
            <w:r w:rsidRPr="00BC21C6">
              <w:t>sability.</w:t>
            </w:r>
          </w:p>
          <w:p w14:paraId="3F0D9E7B" w14:textId="77777777" w:rsidR="001F1260" w:rsidRPr="00617300" w:rsidRDefault="001F1260" w:rsidP="00CD554F">
            <w:pPr>
              <w:pStyle w:val="ListParagraph"/>
              <w:numPr>
                <w:ilvl w:val="0"/>
                <w:numId w:val="9"/>
              </w:numPr>
            </w:pPr>
            <w:r w:rsidRPr="00BC21C6">
              <w:t xml:space="preserve">KPI - % of staff providing social identify information </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3F0D9E7C" w14:textId="77777777" w:rsidR="001F1260" w:rsidRPr="00B315E6" w:rsidRDefault="00B67DD7" w:rsidP="0099695A">
            <w:pPr>
              <w:spacing w:line="276" w:lineRule="auto"/>
              <w:ind w:left="-108"/>
              <w:jc w:val="center"/>
              <w:rPr>
                <w:rFonts w:eastAsia="Calibri"/>
              </w:rPr>
            </w:pPr>
            <w:r>
              <w:rPr>
                <w:rFonts w:eastAsia="Calibri"/>
              </w:rPr>
              <w:t>23%</w:t>
            </w:r>
          </w:p>
        </w:tc>
        <w:tc>
          <w:tcPr>
            <w:tcW w:w="1133" w:type="dxa"/>
            <w:vMerge w:val="restart"/>
            <w:tcBorders>
              <w:top w:val="single" w:sz="4" w:space="0" w:color="auto"/>
              <w:left w:val="single" w:sz="4" w:space="0" w:color="auto"/>
              <w:right w:val="single" w:sz="4" w:space="0" w:color="auto"/>
            </w:tcBorders>
            <w:shd w:val="clear" w:color="auto" w:fill="auto"/>
            <w:noWrap/>
            <w:vAlign w:val="center"/>
          </w:tcPr>
          <w:p w14:paraId="3F0D9E7D" w14:textId="77777777" w:rsidR="001F1260" w:rsidRPr="00B315E6" w:rsidRDefault="00B67DD7" w:rsidP="0099695A">
            <w:pPr>
              <w:spacing w:line="276" w:lineRule="auto"/>
              <w:ind w:left="-108"/>
              <w:jc w:val="center"/>
              <w:rPr>
                <w:rFonts w:eastAsia="Calibri"/>
              </w:rPr>
            </w:pPr>
            <w:r>
              <w:rPr>
                <w:rFonts w:eastAsia="Calibri"/>
              </w:rPr>
              <w:t>24.4%</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F0D9E7E" w14:textId="77777777" w:rsidR="001F1260" w:rsidRPr="00B46282" w:rsidRDefault="00B67DD7" w:rsidP="0099695A">
            <w:pPr>
              <w:spacing w:line="276" w:lineRule="auto"/>
              <w:ind w:left="-108"/>
              <w:jc w:val="center"/>
              <w:rPr>
                <w:rFonts w:eastAsia="Calibri"/>
                <w:b/>
              </w:rPr>
            </w:pPr>
            <w:r>
              <w:rPr>
                <w:rFonts w:eastAsia="Calibri"/>
                <w:b/>
              </w:rPr>
              <w:t>HG</w:t>
            </w:r>
          </w:p>
        </w:tc>
        <w:tc>
          <w:tcPr>
            <w:tcW w:w="6522" w:type="dxa"/>
            <w:tcBorders>
              <w:top w:val="single" w:sz="4" w:space="0" w:color="auto"/>
              <w:left w:val="single" w:sz="4" w:space="0" w:color="auto"/>
              <w:bottom w:val="single" w:sz="4" w:space="0" w:color="auto"/>
              <w:right w:val="single" w:sz="4" w:space="0" w:color="auto"/>
            </w:tcBorders>
          </w:tcPr>
          <w:p w14:paraId="3F0D9E7F" w14:textId="77777777" w:rsidR="001F1260" w:rsidRPr="001F1260" w:rsidRDefault="001F1260" w:rsidP="00BC21C6">
            <w:pPr>
              <w:spacing w:line="276" w:lineRule="auto"/>
            </w:pPr>
            <w:r>
              <w:t xml:space="preserve">SAP has been updated for staff to be able to enter their social identity. Communications have gone out </w:t>
            </w:r>
            <w:proofErr w:type="spellStart"/>
            <w:r>
              <w:t>e.g</w:t>
            </w:r>
            <w:proofErr w:type="spellEnd"/>
            <w:r>
              <w:t xml:space="preserve"> “</w:t>
            </w:r>
            <w:proofErr w:type="spellStart"/>
            <w:r>
              <w:t>Whats</w:t>
            </w:r>
            <w:proofErr w:type="spellEnd"/>
            <w:r>
              <w:t xml:space="preserve"> it got to do with you” and also the newsletters to encourage staff to input their data.</w:t>
            </w:r>
          </w:p>
        </w:tc>
      </w:tr>
      <w:tr w:rsidR="001F1260" w:rsidRPr="00B315E6" w14:paraId="3F0D9E86" w14:textId="77777777" w:rsidTr="00F91A50">
        <w:trPr>
          <w:trHeight w:val="1950"/>
        </w:trPr>
        <w:tc>
          <w:tcPr>
            <w:tcW w:w="5387" w:type="dxa"/>
            <w:vMerge/>
            <w:tcBorders>
              <w:left w:val="single" w:sz="4" w:space="0" w:color="auto"/>
              <w:bottom w:val="single" w:sz="4" w:space="0" w:color="auto"/>
              <w:right w:val="single" w:sz="4" w:space="0" w:color="auto"/>
            </w:tcBorders>
            <w:shd w:val="clear" w:color="auto" w:fill="auto"/>
          </w:tcPr>
          <w:p w14:paraId="3F0D9E81" w14:textId="77777777" w:rsidR="001F1260" w:rsidRPr="003357F9" w:rsidRDefault="001F1260" w:rsidP="00BC21C6"/>
        </w:tc>
        <w:tc>
          <w:tcPr>
            <w:tcW w:w="1134" w:type="dxa"/>
            <w:vMerge/>
            <w:tcBorders>
              <w:left w:val="single" w:sz="4" w:space="0" w:color="auto"/>
              <w:bottom w:val="single" w:sz="4" w:space="0" w:color="auto"/>
              <w:right w:val="single" w:sz="4" w:space="0" w:color="auto"/>
            </w:tcBorders>
            <w:shd w:val="clear" w:color="auto" w:fill="auto"/>
            <w:noWrap/>
            <w:vAlign w:val="center"/>
          </w:tcPr>
          <w:p w14:paraId="3F0D9E82" w14:textId="77777777" w:rsidR="001F1260" w:rsidRPr="00B315E6" w:rsidRDefault="001F1260" w:rsidP="0099695A">
            <w:pPr>
              <w:spacing w:line="276" w:lineRule="auto"/>
              <w:ind w:left="-108"/>
              <w:jc w:val="center"/>
              <w:rPr>
                <w:rFonts w:eastAsia="Calibri"/>
              </w:rPr>
            </w:pPr>
          </w:p>
        </w:tc>
        <w:tc>
          <w:tcPr>
            <w:tcW w:w="1133" w:type="dxa"/>
            <w:vMerge/>
            <w:tcBorders>
              <w:left w:val="single" w:sz="4" w:space="0" w:color="auto"/>
              <w:bottom w:val="single" w:sz="4" w:space="0" w:color="auto"/>
              <w:right w:val="single" w:sz="4" w:space="0" w:color="auto"/>
            </w:tcBorders>
            <w:shd w:val="clear" w:color="auto" w:fill="auto"/>
            <w:noWrap/>
            <w:vAlign w:val="center"/>
          </w:tcPr>
          <w:p w14:paraId="3F0D9E83" w14:textId="77777777" w:rsidR="001F1260" w:rsidRPr="00B315E6" w:rsidRDefault="001F1260" w:rsidP="0099695A">
            <w:pPr>
              <w:spacing w:line="276" w:lineRule="auto"/>
              <w:ind w:left="-108"/>
              <w:jc w:val="center"/>
              <w:rPr>
                <w:rFonts w:eastAsia="Calibri"/>
              </w:rPr>
            </w:pPr>
          </w:p>
        </w:tc>
        <w:tc>
          <w:tcPr>
            <w:tcW w:w="992" w:type="dxa"/>
            <w:vMerge/>
            <w:tcBorders>
              <w:left w:val="single" w:sz="4" w:space="0" w:color="auto"/>
              <w:bottom w:val="single" w:sz="4" w:space="0" w:color="auto"/>
              <w:right w:val="single" w:sz="4" w:space="0" w:color="auto"/>
            </w:tcBorders>
            <w:shd w:val="clear" w:color="auto" w:fill="auto"/>
            <w:vAlign w:val="center"/>
          </w:tcPr>
          <w:p w14:paraId="3F0D9E84" w14:textId="77777777" w:rsidR="001F1260" w:rsidRPr="00B46282" w:rsidRDefault="001F1260" w:rsidP="0099695A">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6DF61E78" w14:textId="77777777" w:rsidR="0058185B" w:rsidRDefault="001F1260" w:rsidP="00230BDC">
            <w:pPr>
              <w:pStyle w:val="ListParagraph"/>
              <w:numPr>
                <w:ilvl w:val="0"/>
                <w:numId w:val="9"/>
              </w:numPr>
              <w:spacing w:line="276" w:lineRule="auto"/>
            </w:pPr>
            <w:r w:rsidRPr="005069BB">
              <w:t>Programme to embed values is on-going</w:t>
            </w:r>
            <w:r>
              <w:t xml:space="preserve">. </w:t>
            </w:r>
          </w:p>
          <w:p w14:paraId="78603FE4" w14:textId="77777777" w:rsidR="0058185B" w:rsidRDefault="001F1260" w:rsidP="00230BDC">
            <w:pPr>
              <w:pStyle w:val="ListParagraph"/>
              <w:numPr>
                <w:ilvl w:val="0"/>
                <w:numId w:val="9"/>
              </w:numPr>
              <w:spacing w:line="276" w:lineRule="auto"/>
            </w:pPr>
            <w:r>
              <w:t xml:space="preserve">Staff awards were held to celebrate work against the values including work around Equalities &amp; Diversity. Values also included as part of the appraisal where staff can update any work around equalities for the “do it Together” Value. </w:t>
            </w:r>
          </w:p>
          <w:p w14:paraId="3F0D9E85" w14:textId="1F800C29" w:rsidR="001F1260" w:rsidRDefault="001F1260" w:rsidP="00230BDC">
            <w:pPr>
              <w:pStyle w:val="ListParagraph"/>
              <w:numPr>
                <w:ilvl w:val="0"/>
                <w:numId w:val="9"/>
              </w:numPr>
              <w:spacing w:line="276" w:lineRule="auto"/>
            </w:pPr>
            <w:r>
              <w:t>Values E-Learning in development</w:t>
            </w:r>
          </w:p>
        </w:tc>
      </w:tr>
      <w:tr w:rsidR="001F1260" w:rsidRPr="00B315E6" w14:paraId="3F0D9E9E" w14:textId="77777777" w:rsidTr="002B49BC">
        <w:trPr>
          <w:trHeight w:val="1184"/>
        </w:trPr>
        <w:tc>
          <w:tcPr>
            <w:tcW w:w="5387" w:type="dxa"/>
            <w:vMerge w:val="restart"/>
            <w:tcBorders>
              <w:top w:val="single" w:sz="4" w:space="0" w:color="auto"/>
              <w:left w:val="single" w:sz="4" w:space="0" w:color="auto"/>
              <w:right w:val="single" w:sz="4" w:space="0" w:color="auto"/>
            </w:tcBorders>
            <w:shd w:val="clear" w:color="auto" w:fill="auto"/>
          </w:tcPr>
          <w:p w14:paraId="3F0D9E87" w14:textId="77777777" w:rsidR="001F1260" w:rsidRPr="00D434DA" w:rsidRDefault="001F1260" w:rsidP="00BC21C6">
            <w:r w:rsidRPr="00D434DA">
              <w:t>Improv</w:t>
            </w:r>
            <w:r w:rsidRPr="003357F9">
              <w:t>e</w:t>
            </w:r>
            <w:r w:rsidRPr="00D434DA">
              <w:t xml:space="preserve"> the proportion of BAME and disabled staff at senior </w:t>
            </w:r>
            <w:r w:rsidRPr="003357F9">
              <w:t>pay bands</w:t>
            </w:r>
          </w:p>
          <w:p w14:paraId="3F0D9E88" w14:textId="77777777" w:rsidR="001F1260" w:rsidRDefault="001F1260" w:rsidP="00CD554F">
            <w:pPr>
              <w:pStyle w:val="NoSpacing"/>
              <w:numPr>
                <w:ilvl w:val="0"/>
                <w:numId w:val="9"/>
              </w:numPr>
              <w:rPr>
                <w:rFonts w:ascii="Arial" w:hAnsi="Arial" w:cs="Arial"/>
                <w:sz w:val="24"/>
                <w:szCs w:val="24"/>
              </w:rPr>
            </w:pPr>
            <w:r w:rsidRPr="00CD554F">
              <w:rPr>
                <w:rFonts w:ascii="Arial" w:hAnsi="Arial" w:cs="Arial"/>
                <w:sz w:val="24"/>
                <w:szCs w:val="24"/>
              </w:rPr>
              <w:t xml:space="preserve">KPI - Proportion of Black, Asian &amp; Minority Ethnic (BAME) employees </w:t>
            </w:r>
          </w:p>
          <w:p w14:paraId="3F0D9E89" w14:textId="77777777" w:rsidR="001F1260" w:rsidRPr="00CD554F" w:rsidRDefault="001F1260" w:rsidP="00CD554F">
            <w:pPr>
              <w:pStyle w:val="NoSpacing"/>
              <w:numPr>
                <w:ilvl w:val="0"/>
                <w:numId w:val="9"/>
              </w:numPr>
              <w:rPr>
                <w:rFonts w:ascii="Arial" w:hAnsi="Arial" w:cs="Arial"/>
                <w:sz w:val="24"/>
                <w:szCs w:val="24"/>
              </w:rPr>
            </w:pPr>
            <w:r w:rsidRPr="00CD554F">
              <w:rPr>
                <w:rFonts w:ascii="Arial" w:hAnsi="Arial" w:cs="Arial"/>
                <w:sz w:val="24"/>
                <w:szCs w:val="24"/>
              </w:rPr>
              <w:t>KPI - Proportion of disabled employees</w:t>
            </w:r>
          </w:p>
          <w:p w14:paraId="3F0D9E8A" w14:textId="77777777" w:rsidR="001F1260" w:rsidRPr="00CD554F" w:rsidRDefault="001F1260" w:rsidP="00CD554F">
            <w:pPr>
              <w:pStyle w:val="NoSpacing"/>
              <w:numPr>
                <w:ilvl w:val="0"/>
                <w:numId w:val="9"/>
              </w:numPr>
              <w:rPr>
                <w:rFonts w:ascii="Arial" w:hAnsi="Arial" w:cs="Arial"/>
                <w:sz w:val="24"/>
                <w:szCs w:val="24"/>
              </w:rPr>
            </w:pPr>
            <w:r w:rsidRPr="00CD554F">
              <w:rPr>
                <w:rFonts w:ascii="Arial" w:hAnsi="Arial" w:cs="Arial"/>
                <w:sz w:val="24"/>
                <w:szCs w:val="24"/>
              </w:rPr>
              <w:t>KPI - % of top 5% of earners who are BAME</w:t>
            </w:r>
          </w:p>
          <w:p w14:paraId="3F0D9E8B" w14:textId="77777777" w:rsidR="001F1260" w:rsidRPr="00617300" w:rsidRDefault="001F1260" w:rsidP="00CD554F">
            <w:pPr>
              <w:pStyle w:val="ListParagraph"/>
              <w:numPr>
                <w:ilvl w:val="0"/>
                <w:numId w:val="9"/>
              </w:numPr>
              <w:autoSpaceDE w:val="0"/>
              <w:autoSpaceDN w:val="0"/>
              <w:adjustRightInd w:val="0"/>
              <w:rPr>
                <w:lang w:eastAsia="en-GB"/>
              </w:rPr>
            </w:pPr>
            <w:r w:rsidRPr="00CD554F">
              <w:t>KPI - % top 5% of earners who are disabled</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3F0D9E8D" w14:textId="2B6B472B" w:rsidR="00B67DD7" w:rsidRDefault="00C313A8" w:rsidP="00C313A8">
            <w:pPr>
              <w:spacing w:line="276" w:lineRule="auto"/>
              <w:rPr>
                <w:rFonts w:eastAsia="Calibri"/>
              </w:rPr>
            </w:pPr>
            <w:r>
              <w:rPr>
                <w:rFonts w:eastAsia="Calibri"/>
              </w:rPr>
              <w:t xml:space="preserve">   </w:t>
            </w:r>
            <w:r w:rsidR="00B67DD7">
              <w:rPr>
                <w:rFonts w:eastAsia="Calibri"/>
              </w:rPr>
              <w:t>45%</w:t>
            </w:r>
          </w:p>
          <w:p w14:paraId="3F0D9E8E" w14:textId="77777777" w:rsidR="00B67DD7" w:rsidRDefault="00B67DD7" w:rsidP="00B67DD7">
            <w:pPr>
              <w:spacing w:line="276" w:lineRule="auto"/>
              <w:ind w:left="-108"/>
              <w:jc w:val="center"/>
              <w:rPr>
                <w:rFonts w:eastAsia="Calibri"/>
              </w:rPr>
            </w:pPr>
          </w:p>
          <w:p w14:paraId="3F0D9E8F" w14:textId="77777777" w:rsidR="00B67DD7" w:rsidRDefault="00B67DD7" w:rsidP="00B67DD7">
            <w:pPr>
              <w:spacing w:line="276" w:lineRule="auto"/>
              <w:ind w:left="-108"/>
              <w:jc w:val="center"/>
              <w:rPr>
                <w:rFonts w:eastAsia="Calibri"/>
              </w:rPr>
            </w:pPr>
            <w:r>
              <w:rPr>
                <w:rFonts w:eastAsia="Calibri"/>
              </w:rPr>
              <w:t>3%</w:t>
            </w:r>
          </w:p>
          <w:p w14:paraId="3F0D9E90" w14:textId="77777777" w:rsidR="00B67DD7" w:rsidRDefault="00B67DD7" w:rsidP="00B67DD7">
            <w:pPr>
              <w:spacing w:line="276" w:lineRule="auto"/>
              <w:ind w:left="-108"/>
              <w:jc w:val="center"/>
              <w:rPr>
                <w:rFonts w:eastAsia="Calibri"/>
              </w:rPr>
            </w:pPr>
            <w:r>
              <w:rPr>
                <w:rFonts w:eastAsia="Calibri"/>
              </w:rPr>
              <w:t>20%</w:t>
            </w:r>
          </w:p>
          <w:p w14:paraId="3F0D9E91" w14:textId="77777777" w:rsidR="00B67DD7" w:rsidRDefault="00B67DD7" w:rsidP="00B67DD7">
            <w:pPr>
              <w:spacing w:line="276" w:lineRule="auto"/>
              <w:ind w:left="-108"/>
              <w:jc w:val="center"/>
              <w:rPr>
                <w:rFonts w:eastAsia="Calibri"/>
              </w:rPr>
            </w:pPr>
            <w:r>
              <w:rPr>
                <w:rFonts w:eastAsia="Calibri"/>
              </w:rPr>
              <w:t>3%</w:t>
            </w:r>
          </w:p>
          <w:p w14:paraId="3F0D9E92" w14:textId="77777777" w:rsidR="00B67DD7" w:rsidRPr="00B315E6" w:rsidRDefault="00B67DD7" w:rsidP="0099695A">
            <w:pPr>
              <w:spacing w:line="276" w:lineRule="auto"/>
              <w:ind w:left="-108"/>
              <w:jc w:val="center"/>
              <w:rPr>
                <w:rFonts w:eastAsia="Calibri"/>
              </w:rPr>
            </w:pPr>
          </w:p>
        </w:tc>
        <w:tc>
          <w:tcPr>
            <w:tcW w:w="1133" w:type="dxa"/>
            <w:vMerge w:val="restart"/>
            <w:tcBorders>
              <w:top w:val="single" w:sz="4" w:space="0" w:color="auto"/>
              <w:left w:val="single" w:sz="4" w:space="0" w:color="auto"/>
              <w:right w:val="single" w:sz="4" w:space="0" w:color="auto"/>
            </w:tcBorders>
            <w:shd w:val="clear" w:color="auto" w:fill="auto"/>
            <w:noWrap/>
            <w:vAlign w:val="center"/>
          </w:tcPr>
          <w:p w14:paraId="3F0D9E93" w14:textId="77777777" w:rsidR="001F1260" w:rsidRDefault="00B67DD7" w:rsidP="0099695A">
            <w:pPr>
              <w:spacing w:line="276" w:lineRule="auto"/>
              <w:ind w:left="-108"/>
              <w:jc w:val="center"/>
              <w:rPr>
                <w:rFonts w:eastAsia="Calibri"/>
              </w:rPr>
            </w:pPr>
            <w:r>
              <w:rPr>
                <w:rFonts w:eastAsia="Calibri"/>
              </w:rPr>
              <w:t>45%</w:t>
            </w:r>
          </w:p>
          <w:p w14:paraId="3F0D9E94" w14:textId="77777777" w:rsidR="00B67DD7" w:rsidRDefault="00B67DD7" w:rsidP="0099695A">
            <w:pPr>
              <w:spacing w:line="276" w:lineRule="auto"/>
              <w:ind w:left="-108"/>
              <w:jc w:val="center"/>
              <w:rPr>
                <w:rFonts w:eastAsia="Calibri"/>
              </w:rPr>
            </w:pPr>
          </w:p>
          <w:p w14:paraId="3F0D9E95" w14:textId="77777777" w:rsidR="00B67DD7" w:rsidRDefault="00B67DD7" w:rsidP="0099695A">
            <w:pPr>
              <w:spacing w:line="276" w:lineRule="auto"/>
              <w:ind w:left="-108"/>
              <w:jc w:val="center"/>
              <w:rPr>
                <w:rFonts w:eastAsia="Calibri"/>
              </w:rPr>
            </w:pPr>
            <w:r>
              <w:rPr>
                <w:rFonts w:eastAsia="Calibri"/>
              </w:rPr>
              <w:t>2.2%</w:t>
            </w:r>
          </w:p>
          <w:p w14:paraId="3F0D9E96" w14:textId="77777777" w:rsidR="00B67DD7" w:rsidRDefault="00B67DD7" w:rsidP="0099695A">
            <w:pPr>
              <w:spacing w:line="276" w:lineRule="auto"/>
              <w:ind w:left="-108"/>
              <w:jc w:val="center"/>
              <w:rPr>
                <w:rFonts w:eastAsia="Calibri"/>
              </w:rPr>
            </w:pPr>
            <w:r>
              <w:rPr>
                <w:rFonts w:eastAsia="Calibri"/>
              </w:rPr>
              <w:t>21.9%</w:t>
            </w:r>
          </w:p>
          <w:p w14:paraId="3F0D9E97" w14:textId="77777777" w:rsidR="00B67DD7" w:rsidRPr="00B315E6" w:rsidRDefault="00B67DD7" w:rsidP="0099695A">
            <w:pPr>
              <w:spacing w:line="276" w:lineRule="auto"/>
              <w:ind w:left="-108"/>
              <w:jc w:val="center"/>
              <w:rPr>
                <w:rFonts w:eastAsia="Calibri"/>
              </w:rPr>
            </w:pPr>
            <w:r>
              <w:rPr>
                <w:rFonts w:eastAsia="Calibri"/>
              </w:rPr>
              <w:t>2.86%</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F0D9E98" w14:textId="77777777" w:rsidR="001F1260" w:rsidRDefault="00B67DD7" w:rsidP="00617300">
            <w:pPr>
              <w:spacing w:line="276" w:lineRule="auto"/>
              <w:ind w:left="-108"/>
              <w:jc w:val="center"/>
              <w:rPr>
                <w:rFonts w:eastAsia="Calibri"/>
                <w:b/>
              </w:rPr>
            </w:pPr>
            <w:r>
              <w:rPr>
                <w:rFonts w:eastAsia="Calibri"/>
                <w:b/>
              </w:rPr>
              <w:t>LG</w:t>
            </w:r>
          </w:p>
          <w:p w14:paraId="3F0D9E99" w14:textId="77777777" w:rsidR="00B67DD7" w:rsidRDefault="00B67DD7" w:rsidP="00617300">
            <w:pPr>
              <w:spacing w:line="276" w:lineRule="auto"/>
              <w:ind w:left="-108"/>
              <w:jc w:val="center"/>
              <w:rPr>
                <w:rFonts w:eastAsia="Calibri"/>
                <w:b/>
              </w:rPr>
            </w:pPr>
          </w:p>
          <w:p w14:paraId="3F0D9E9A" w14:textId="77777777" w:rsidR="00B67DD7" w:rsidRDefault="00B67DD7" w:rsidP="00617300">
            <w:pPr>
              <w:spacing w:line="276" w:lineRule="auto"/>
              <w:ind w:left="-108"/>
              <w:jc w:val="center"/>
              <w:rPr>
                <w:rFonts w:eastAsia="Calibri"/>
                <w:b/>
              </w:rPr>
            </w:pPr>
            <w:r>
              <w:rPr>
                <w:rFonts w:eastAsia="Calibri"/>
                <w:b/>
              </w:rPr>
              <w:t>HR</w:t>
            </w:r>
          </w:p>
          <w:p w14:paraId="3F0D9E9B" w14:textId="77777777" w:rsidR="00B67DD7" w:rsidRDefault="00B67DD7" w:rsidP="00617300">
            <w:pPr>
              <w:spacing w:line="276" w:lineRule="auto"/>
              <w:ind w:left="-108"/>
              <w:jc w:val="center"/>
              <w:rPr>
                <w:rFonts w:eastAsia="Calibri"/>
                <w:b/>
              </w:rPr>
            </w:pPr>
            <w:r>
              <w:rPr>
                <w:rFonts w:eastAsia="Calibri"/>
                <w:b/>
              </w:rPr>
              <w:t>HG</w:t>
            </w:r>
          </w:p>
          <w:p w14:paraId="3F0D9E9C" w14:textId="77777777" w:rsidR="00B67DD7" w:rsidRPr="00B46282" w:rsidRDefault="00B67DD7" w:rsidP="00617300">
            <w:pPr>
              <w:spacing w:line="276" w:lineRule="auto"/>
              <w:ind w:left="-108"/>
              <w:jc w:val="center"/>
              <w:rPr>
                <w:rFonts w:eastAsia="Calibri"/>
                <w:b/>
              </w:rPr>
            </w:pPr>
            <w:r>
              <w:rPr>
                <w:rFonts w:eastAsia="Calibri"/>
                <w:b/>
              </w:rPr>
              <w:t>A</w:t>
            </w:r>
          </w:p>
        </w:tc>
        <w:tc>
          <w:tcPr>
            <w:tcW w:w="6522" w:type="dxa"/>
            <w:tcBorders>
              <w:top w:val="single" w:sz="4" w:space="0" w:color="auto"/>
              <w:left w:val="single" w:sz="4" w:space="0" w:color="auto"/>
              <w:bottom w:val="single" w:sz="4" w:space="0" w:color="auto"/>
              <w:right w:val="single" w:sz="4" w:space="0" w:color="auto"/>
            </w:tcBorders>
          </w:tcPr>
          <w:p w14:paraId="3F0D9E9D" w14:textId="77777777" w:rsidR="001F1260" w:rsidRPr="001F1260" w:rsidRDefault="001F1260" w:rsidP="00DC7989">
            <w:pPr>
              <w:spacing w:line="276" w:lineRule="auto"/>
            </w:pPr>
            <w:r w:rsidRPr="005069BB">
              <w:t>The Chief Executive is responsible for driving the agenda supported by CLG who have committed to a series of actions to achieve the Priorities for the Objective of An inclusive workforce that feels valued, respected and reflects our community.</w:t>
            </w:r>
          </w:p>
        </w:tc>
      </w:tr>
      <w:tr w:rsidR="001F1260" w:rsidRPr="00B315E6" w14:paraId="3F0D9EA4" w14:textId="77777777" w:rsidTr="002B49BC">
        <w:trPr>
          <w:trHeight w:val="1183"/>
        </w:trPr>
        <w:tc>
          <w:tcPr>
            <w:tcW w:w="5387" w:type="dxa"/>
            <w:vMerge/>
            <w:tcBorders>
              <w:left w:val="single" w:sz="4" w:space="0" w:color="auto"/>
              <w:right w:val="single" w:sz="4" w:space="0" w:color="auto"/>
            </w:tcBorders>
            <w:shd w:val="clear" w:color="auto" w:fill="auto"/>
          </w:tcPr>
          <w:p w14:paraId="3F0D9E9F" w14:textId="77777777" w:rsidR="001F1260" w:rsidRPr="00D434DA" w:rsidRDefault="001F1260" w:rsidP="00BC21C6"/>
        </w:tc>
        <w:tc>
          <w:tcPr>
            <w:tcW w:w="1134" w:type="dxa"/>
            <w:vMerge/>
            <w:tcBorders>
              <w:left w:val="single" w:sz="4" w:space="0" w:color="auto"/>
              <w:right w:val="single" w:sz="4" w:space="0" w:color="auto"/>
            </w:tcBorders>
            <w:shd w:val="clear" w:color="auto" w:fill="auto"/>
            <w:noWrap/>
            <w:vAlign w:val="center"/>
          </w:tcPr>
          <w:p w14:paraId="3F0D9EA0" w14:textId="77777777" w:rsidR="001F1260" w:rsidRPr="00B315E6" w:rsidRDefault="001F1260" w:rsidP="0099695A">
            <w:pPr>
              <w:spacing w:line="276" w:lineRule="auto"/>
              <w:ind w:left="-108"/>
              <w:jc w:val="center"/>
              <w:rPr>
                <w:rFonts w:eastAsia="Calibri"/>
              </w:rPr>
            </w:pPr>
          </w:p>
        </w:tc>
        <w:tc>
          <w:tcPr>
            <w:tcW w:w="1133" w:type="dxa"/>
            <w:vMerge/>
            <w:tcBorders>
              <w:left w:val="single" w:sz="4" w:space="0" w:color="auto"/>
              <w:right w:val="single" w:sz="4" w:space="0" w:color="auto"/>
            </w:tcBorders>
            <w:shd w:val="clear" w:color="auto" w:fill="auto"/>
            <w:noWrap/>
            <w:vAlign w:val="center"/>
          </w:tcPr>
          <w:p w14:paraId="3F0D9EA1" w14:textId="77777777" w:rsidR="001F1260" w:rsidRPr="00B315E6" w:rsidRDefault="001F1260" w:rsidP="0099695A">
            <w:pPr>
              <w:spacing w:line="276" w:lineRule="auto"/>
              <w:ind w:left="-108"/>
              <w:jc w:val="center"/>
              <w:rPr>
                <w:rFonts w:eastAsia="Calibri"/>
              </w:rPr>
            </w:pPr>
          </w:p>
        </w:tc>
        <w:tc>
          <w:tcPr>
            <w:tcW w:w="992" w:type="dxa"/>
            <w:vMerge/>
            <w:tcBorders>
              <w:left w:val="single" w:sz="4" w:space="0" w:color="auto"/>
              <w:right w:val="single" w:sz="4" w:space="0" w:color="auto"/>
            </w:tcBorders>
            <w:shd w:val="clear" w:color="auto" w:fill="auto"/>
            <w:vAlign w:val="center"/>
          </w:tcPr>
          <w:p w14:paraId="3F0D9EA2" w14:textId="77777777" w:rsidR="001F1260" w:rsidRPr="00B46282" w:rsidRDefault="001F1260" w:rsidP="00617300">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3F0D9EA3" w14:textId="77777777" w:rsidR="001F1260" w:rsidRPr="005069BB" w:rsidRDefault="001F1260" w:rsidP="00DC7989">
            <w:pPr>
              <w:spacing w:line="276" w:lineRule="auto"/>
              <w:ind w:left="35"/>
            </w:pPr>
            <w:r w:rsidRPr="005069BB">
              <w:t>CLG members from under-represented groups have committed to volunteer to be promoted as role models.</w:t>
            </w:r>
          </w:p>
        </w:tc>
      </w:tr>
      <w:tr w:rsidR="001F1260" w:rsidRPr="00B315E6" w14:paraId="3F0D9EAA" w14:textId="77777777" w:rsidTr="00941497">
        <w:trPr>
          <w:trHeight w:val="662"/>
        </w:trPr>
        <w:tc>
          <w:tcPr>
            <w:tcW w:w="5387" w:type="dxa"/>
            <w:vMerge/>
            <w:tcBorders>
              <w:left w:val="single" w:sz="4" w:space="0" w:color="auto"/>
              <w:right w:val="single" w:sz="4" w:space="0" w:color="auto"/>
            </w:tcBorders>
            <w:shd w:val="clear" w:color="auto" w:fill="auto"/>
          </w:tcPr>
          <w:p w14:paraId="3F0D9EA5" w14:textId="77777777" w:rsidR="001F1260" w:rsidRPr="00D434DA" w:rsidRDefault="001F1260" w:rsidP="00BC21C6"/>
        </w:tc>
        <w:tc>
          <w:tcPr>
            <w:tcW w:w="1134" w:type="dxa"/>
            <w:vMerge/>
            <w:tcBorders>
              <w:left w:val="single" w:sz="4" w:space="0" w:color="auto"/>
              <w:right w:val="single" w:sz="4" w:space="0" w:color="auto"/>
            </w:tcBorders>
            <w:shd w:val="clear" w:color="auto" w:fill="auto"/>
            <w:noWrap/>
            <w:vAlign w:val="center"/>
          </w:tcPr>
          <w:p w14:paraId="3F0D9EA6" w14:textId="77777777" w:rsidR="001F1260" w:rsidRPr="00B315E6" w:rsidRDefault="001F1260" w:rsidP="0099695A">
            <w:pPr>
              <w:spacing w:line="276" w:lineRule="auto"/>
              <w:ind w:left="-108"/>
              <w:jc w:val="center"/>
              <w:rPr>
                <w:rFonts w:eastAsia="Calibri"/>
              </w:rPr>
            </w:pPr>
          </w:p>
        </w:tc>
        <w:tc>
          <w:tcPr>
            <w:tcW w:w="1133" w:type="dxa"/>
            <w:vMerge/>
            <w:tcBorders>
              <w:left w:val="single" w:sz="4" w:space="0" w:color="auto"/>
              <w:right w:val="single" w:sz="4" w:space="0" w:color="auto"/>
            </w:tcBorders>
            <w:shd w:val="clear" w:color="auto" w:fill="auto"/>
            <w:noWrap/>
            <w:vAlign w:val="center"/>
          </w:tcPr>
          <w:p w14:paraId="3F0D9EA7" w14:textId="77777777" w:rsidR="001F1260" w:rsidRPr="00B315E6" w:rsidRDefault="001F1260" w:rsidP="0099695A">
            <w:pPr>
              <w:spacing w:line="276" w:lineRule="auto"/>
              <w:ind w:left="-108"/>
              <w:jc w:val="center"/>
              <w:rPr>
                <w:rFonts w:eastAsia="Calibri"/>
              </w:rPr>
            </w:pPr>
          </w:p>
        </w:tc>
        <w:tc>
          <w:tcPr>
            <w:tcW w:w="992" w:type="dxa"/>
            <w:vMerge/>
            <w:tcBorders>
              <w:left w:val="single" w:sz="4" w:space="0" w:color="auto"/>
              <w:right w:val="single" w:sz="4" w:space="0" w:color="auto"/>
            </w:tcBorders>
            <w:shd w:val="clear" w:color="auto" w:fill="auto"/>
            <w:vAlign w:val="center"/>
          </w:tcPr>
          <w:p w14:paraId="3F0D9EA8" w14:textId="77777777" w:rsidR="001F1260" w:rsidRPr="00B46282" w:rsidRDefault="001F1260" w:rsidP="00617300">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3F0D9EA9" w14:textId="77777777" w:rsidR="001F1260" w:rsidRPr="005069BB" w:rsidRDefault="001F1260" w:rsidP="00DC7989">
            <w:pPr>
              <w:spacing w:line="276" w:lineRule="auto"/>
              <w:ind w:left="35"/>
            </w:pPr>
            <w:r w:rsidRPr="005069BB">
              <w:t>Leadership development continues to be promoted to staff from under-represented Groups.  Most recently our Coaching and CMI Management &amp; Leadership Programmes</w:t>
            </w:r>
          </w:p>
        </w:tc>
      </w:tr>
      <w:tr w:rsidR="001F1260" w:rsidRPr="00B315E6" w14:paraId="3F0D9EB1" w14:textId="77777777" w:rsidTr="002B49BC">
        <w:trPr>
          <w:trHeight w:val="661"/>
        </w:trPr>
        <w:tc>
          <w:tcPr>
            <w:tcW w:w="5387" w:type="dxa"/>
            <w:vMerge/>
            <w:tcBorders>
              <w:left w:val="single" w:sz="4" w:space="0" w:color="auto"/>
              <w:bottom w:val="single" w:sz="4" w:space="0" w:color="auto"/>
              <w:right w:val="single" w:sz="4" w:space="0" w:color="auto"/>
            </w:tcBorders>
            <w:shd w:val="clear" w:color="auto" w:fill="auto"/>
          </w:tcPr>
          <w:p w14:paraId="3F0D9EAB" w14:textId="77777777" w:rsidR="001F1260" w:rsidRPr="00D434DA" w:rsidRDefault="001F1260" w:rsidP="00BC21C6"/>
        </w:tc>
        <w:tc>
          <w:tcPr>
            <w:tcW w:w="1134" w:type="dxa"/>
            <w:vMerge/>
            <w:tcBorders>
              <w:left w:val="single" w:sz="4" w:space="0" w:color="auto"/>
              <w:bottom w:val="single" w:sz="4" w:space="0" w:color="auto"/>
              <w:right w:val="single" w:sz="4" w:space="0" w:color="auto"/>
            </w:tcBorders>
            <w:shd w:val="clear" w:color="auto" w:fill="auto"/>
            <w:noWrap/>
            <w:vAlign w:val="center"/>
          </w:tcPr>
          <w:p w14:paraId="3F0D9EAC" w14:textId="77777777" w:rsidR="001F1260" w:rsidRPr="00B315E6" w:rsidRDefault="001F1260" w:rsidP="0099695A">
            <w:pPr>
              <w:spacing w:line="276" w:lineRule="auto"/>
              <w:ind w:left="-108"/>
              <w:jc w:val="center"/>
              <w:rPr>
                <w:rFonts w:eastAsia="Calibri"/>
              </w:rPr>
            </w:pPr>
          </w:p>
        </w:tc>
        <w:tc>
          <w:tcPr>
            <w:tcW w:w="1133" w:type="dxa"/>
            <w:vMerge/>
            <w:tcBorders>
              <w:left w:val="single" w:sz="4" w:space="0" w:color="auto"/>
              <w:bottom w:val="single" w:sz="4" w:space="0" w:color="auto"/>
              <w:right w:val="single" w:sz="4" w:space="0" w:color="auto"/>
            </w:tcBorders>
            <w:shd w:val="clear" w:color="auto" w:fill="auto"/>
            <w:noWrap/>
            <w:vAlign w:val="center"/>
          </w:tcPr>
          <w:p w14:paraId="3F0D9EAD" w14:textId="77777777" w:rsidR="001F1260" w:rsidRPr="00B315E6" w:rsidRDefault="001F1260" w:rsidP="0099695A">
            <w:pPr>
              <w:spacing w:line="276" w:lineRule="auto"/>
              <w:ind w:left="-108"/>
              <w:jc w:val="center"/>
              <w:rPr>
                <w:rFonts w:eastAsia="Calibri"/>
              </w:rPr>
            </w:pPr>
          </w:p>
        </w:tc>
        <w:tc>
          <w:tcPr>
            <w:tcW w:w="992" w:type="dxa"/>
            <w:vMerge/>
            <w:tcBorders>
              <w:left w:val="single" w:sz="4" w:space="0" w:color="auto"/>
              <w:bottom w:val="single" w:sz="4" w:space="0" w:color="auto"/>
              <w:right w:val="single" w:sz="4" w:space="0" w:color="auto"/>
            </w:tcBorders>
            <w:shd w:val="clear" w:color="auto" w:fill="auto"/>
            <w:vAlign w:val="center"/>
          </w:tcPr>
          <w:p w14:paraId="3F0D9EAE" w14:textId="77777777" w:rsidR="001F1260" w:rsidRPr="00B46282" w:rsidRDefault="001F1260" w:rsidP="00617300">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3F0D9EAF" w14:textId="77777777" w:rsidR="001F1260" w:rsidRPr="00181478" w:rsidRDefault="001F1260" w:rsidP="001F1260">
            <w:pPr>
              <w:autoSpaceDE w:val="0"/>
              <w:autoSpaceDN w:val="0"/>
              <w:adjustRightInd w:val="0"/>
              <w:rPr>
                <w:lang w:eastAsia="en-GB"/>
              </w:rPr>
            </w:pPr>
            <w:r>
              <w:rPr>
                <w:lang w:eastAsia="en-GB"/>
              </w:rPr>
              <w:t>Work to m</w:t>
            </w:r>
            <w:r w:rsidRPr="00181478">
              <w:rPr>
                <w:lang w:eastAsia="en-GB"/>
              </w:rPr>
              <w:t>onitor application</w:t>
            </w:r>
            <w:r>
              <w:rPr>
                <w:lang w:eastAsia="en-GB"/>
              </w:rPr>
              <w:t xml:space="preserve"> </w:t>
            </w:r>
            <w:r w:rsidRPr="00181478">
              <w:rPr>
                <w:lang w:eastAsia="en-GB"/>
              </w:rPr>
              <w:t>of the performance appraisal scheme to ensure</w:t>
            </w:r>
            <w:r>
              <w:rPr>
                <w:lang w:eastAsia="en-GB"/>
              </w:rPr>
              <w:t xml:space="preserve"> there is no indication of bias will commence following half year review.</w:t>
            </w:r>
          </w:p>
          <w:p w14:paraId="3F0D9EB0" w14:textId="77777777" w:rsidR="001F1260" w:rsidRPr="005069BB" w:rsidRDefault="001F1260" w:rsidP="0099695A">
            <w:pPr>
              <w:spacing w:line="276" w:lineRule="auto"/>
              <w:ind w:left="-108"/>
            </w:pPr>
          </w:p>
        </w:tc>
      </w:tr>
      <w:tr w:rsidR="001F1260" w:rsidRPr="00B315E6" w14:paraId="3F0D9EB8" w14:textId="77777777" w:rsidTr="008F52C1">
        <w:trPr>
          <w:trHeight w:val="628"/>
        </w:trPr>
        <w:tc>
          <w:tcPr>
            <w:tcW w:w="5387" w:type="dxa"/>
            <w:vMerge w:val="restart"/>
            <w:tcBorders>
              <w:top w:val="single" w:sz="4" w:space="0" w:color="auto"/>
              <w:left w:val="single" w:sz="4" w:space="0" w:color="auto"/>
              <w:right w:val="single" w:sz="4" w:space="0" w:color="auto"/>
            </w:tcBorders>
            <w:shd w:val="clear" w:color="auto" w:fill="auto"/>
          </w:tcPr>
          <w:p w14:paraId="3F0D9EB2" w14:textId="77777777" w:rsidR="001F1260" w:rsidRPr="00CD554F" w:rsidRDefault="001F1260" w:rsidP="00BC21C6">
            <w:r w:rsidRPr="00D434DA">
              <w:t>Improv</w:t>
            </w:r>
            <w:r w:rsidRPr="003357F9">
              <w:t>e</w:t>
            </w:r>
            <w:r w:rsidRPr="00D434DA">
              <w:t xml:space="preserve"> the recruitment, support and retention of young people </w:t>
            </w:r>
          </w:p>
          <w:p w14:paraId="3F0D9EB3" w14:textId="77777777" w:rsidR="001F1260" w:rsidRPr="00CD554F" w:rsidRDefault="001F1260" w:rsidP="00CD554F">
            <w:pPr>
              <w:pStyle w:val="ListParagraph"/>
              <w:numPr>
                <w:ilvl w:val="0"/>
                <w:numId w:val="11"/>
              </w:numPr>
            </w:pPr>
            <w:r w:rsidRPr="00CD554F">
              <w:t>KPI - Proportion of Harrow Council employees aged less than 25</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14:paraId="3F0D9EB4" w14:textId="77777777" w:rsidR="001F1260" w:rsidRPr="00B315E6" w:rsidRDefault="00E82581" w:rsidP="0099695A">
            <w:pPr>
              <w:spacing w:line="276" w:lineRule="auto"/>
              <w:ind w:left="-108"/>
              <w:jc w:val="center"/>
              <w:rPr>
                <w:rFonts w:eastAsia="Calibri"/>
              </w:rPr>
            </w:pPr>
            <w:r>
              <w:rPr>
                <w:rFonts w:eastAsia="Calibri"/>
              </w:rPr>
              <w:t>3.31%</w:t>
            </w:r>
          </w:p>
        </w:tc>
        <w:tc>
          <w:tcPr>
            <w:tcW w:w="1133" w:type="dxa"/>
            <w:vMerge w:val="restart"/>
            <w:tcBorders>
              <w:top w:val="single" w:sz="4" w:space="0" w:color="auto"/>
              <w:left w:val="single" w:sz="4" w:space="0" w:color="auto"/>
              <w:right w:val="single" w:sz="4" w:space="0" w:color="auto"/>
            </w:tcBorders>
            <w:shd w:val="clear" w:color="auto" w:fill="auto"/>
            <w:noWrap/>
            <w:vAlign w:val="center"/>
          </w:tcPr>
          <w:p w14:paraId="3F0D9EB5" w14:textId="77777777" w:rsidR="001F1260" w:rsidRPr="00B315E6" w:rsidRDefault="00E82581" w:rsidP="0099695A">
            <w:pPr>
              <w:spacing w:line="276" w:lineRule="auto"/>
              <w:ind w:left="-108"/>
              <w:jc w:val="center"/>
              <w:rPr>
                <w:rFonts w:eastAsia="Calibri"/>
              </w:rPr>
            </w:pPr>
            <w:r>
              <w:rPr>
                <w:rFonts w:eastAsia="Calibri"/>
              </w:rPr>
              <w:t>2.62%</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3F0D9EB6" w14:textId="77777777" w:rsidR="001F1260" w:rsidRPr="00B46282" w:rsidRDefault="00E82581" w:rsidP="0099695A">
            <w:pPr>
              <w:spacing w:line="276" w:lineRule="auto"/>
              <w:ind w:left="-108"/>
              <w:jc w:val="center"/>
              <w:rPr>
                <w:rFonts w:eastAsia="Calibri"/>
                <w:b/>
              </w:rPr>
            </w:pPr>
            <w:r>
              <w:rPr>
                <w:rFonts w:eastAsia="Calibri"/>
                <w:b/>
              </w:rPr>
              <w:t>HR</w:t>
            </w:r>
          </w:p>
        </w:tc>
        <w:tc>
          <w:tcPr>
            <w:tcW w:w="6522" w:type="dxa"/>
            <w:tcBorders>
              <w:top w:val="single" w:sz="4" w:space="0" w:color="auto"/>
              <w:left w:val="single" w:sz="4" w:space="0" w:color="auto"/>
              <w:bottom w:val="single" w:sz="4" w:space="0" w:color="auto"/>
              <w:right w:val="single" w:sz="4" w:space="0" w:color="auto"/>
            </w:tcBorders>
          </w:tcPr>
          <w:p w14:paraId="3F0D9EB7" w14:textId="77777777" w:rsidR="001F1260" w:rsidRPr="00B315E6" w:rsidRDefault="001F1260" w:rsidP="00E004A5">
            <w:pPr>
              <w:spacing w:line="276" w:lineRule="auto"/>
              <w:ind w:left="35"/>
              <w:rPr>
                <w:rFonts w:eastAsia="Calibri"/>
              </w:rPr>
            </w:pPr>
            <w:r>
              <w:t xml:space="preserve">Review of policy ongoing as part of the Recruitment project.                                     </w:t>
            </w:r>
          </w:p>
        </w:tc>
      </w:tr>
      <w:tr w:rsidR="001F1260" w:rsidRPr="00B315E6" w14:paraId="3F0D9EBF" w14:textId="77777777" w:rsidTr="008F52C1">
        <w:trPr>
          <w:trHeight w:val="628"/>
        </w:trPr>
        <w:tc>
          <w:tcPr>
            <w:tcW w:w="5387" w:type="dxa"/>
            <w:vMerge/>
            <w:tcBorders>
              <w:left w:val="single" w:sz="4" w:space="0" w:color="auto"/>
              <w:bottom w:val="single" w:sz="4" w:space="0" w:color="auto"/>
              <w:right w:val="single" w:sz="4" w:space="0" w:color="auto"/>
            </w:tcBorders>
            <w:shd w:val="clear" w:color="auto" w:fill="auto"/>
          </w:tcPr>
          <w:p w14:paraId="3F0D9EB9" w14:textId="77777777" w:rsidR="001F1260" w:rsidRPr="00D434DA" w:rsidRDefault="001F1260" w:rsidP="00BC21C6"/>
        </w:tc>
        <w:tc>
          <w:tcPr>
            <w:tcW w:w="1134" w:type="dxa"/>
            <w:vMerge/>
            <w:tcBorders>
              <w:left w:val="single" w:sz="4" w:space="0" w:color="auto"/>
              <w:bottom w:val="single" w:sz="4" w:space="0" w:color="auto"/>
              <w:right w:val="single" w:sz="4" w:space="0" w:color="auto"/>
            </w:tcBorders>
            <w:shd w:val="clear" w:color="auto" w:fill="auto"/>
            <w:noWrap/>
            <w:vAlign w:val="center"/>
          </w:tcPr>
          <w:p w14:paraId="3F0D9EBA" w14:textId="77777777" w:rsidR="001F1260" w:rsidRPr="00B315E6" w:rsidRDefault="001F1260" w:rsidP="0099695A">
            <w:pPr>
              <w:spacing w:line="276" w:lineRule="auto"/>
              <w:ind w:left="-108"/>
              <w:jc w:val="center"/>
              <w:rPr>
                <w:rFonts w:eastAsia="Calibri"/>
              </w:rPr>
            </w:pPr>
          </w:p>
        </w:tc>
        <w:tc>
          <w:tcPr>
            <w:tcW w:w="1133" w:type="dxa"/>
            <w:vMerge/>
            <w:tcBorders>
              <w:left w:val="single" w:sz="4" w:space="0" w:color="auto"/>
              <w:bottom w:val="single" w:sz="4" w:space="0" w:color="auto"/>
              <w:right w:val="single" w:sz="4" w:space="0" w:color="auto"/>
            </w:tcBorders>
            <w:shd w:val="clear" w:color="auto" w:fill="auto"/>
            <w:noWrap/>
            <w:vAlign w:val="center"/>
          </w:tcPr>
          <w:p w14:paraId="3F0D9EBB" w14:textId="77777777" w:rsidR="001F1260" w:rsidRPr="00B315E6" w:rsidRDefault="001F1260" w:rsidP="0099695A">
            <w:pPr>
              <w:spacing w:line="276" w:lineRule="auto"/>
              <w:ind w:left="-108"/>
              <w:jc w:val="center"/>
              <w:rPr>
                <w:rFonts w:eastAsia="Calibri"/>
              </w:rPr>
            </w:pPr>
          </w:p>
        </w:tc>
        <w:tc>
          <w:tcPr>
            <w:tcW w:w="992" w:type="dxa"/>
            <w:vMerge/>
            <w:tcBorders>
              <w:left w:val="single" w:sz="4" w:space="0" w:color="auto"/>
              <w:bottom w:val="single" w:sz="4" w:space="0" w:color="auto"/>
              <w:right w:val="single" w:sz="4" w:space="0" w:color="auto"/>
            </w:tcBorders>
            <w:shd w:val="clear" w:color="auto" w:fill="auto"/>
            <w:vAlign w:val="center"/>
          </w:tcPr>
          <w:p w14:paraId="3F0D9EBC" w14:textId="77777777" w:rsidR="001F1260" w:rsidRDefault="001F1260" w:rsidP="0099695A">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3F0D9EBD" w14:textId="77777777" w:rsidR="001F1260" w:rsidRPr="001F1260" w:rsidRDefault="001F1260" w:rsidP="001F1260">
            <w:r w:rsidRPr="001F1260">
              <w:t>303  young people supported into work in 2016/17</w:t>
            </w:r>
          </w:p>
          <w:p w14:paraId="3F0D9EBE" w14:textId="77777777" w:rsidR="001F1260" w:rsidRDefault="001F1260" w:rsidP="001F1260">
            <w:r w:rsidRPr="00645BBF">
              <w:t>55 young people have been supported through the X16 programme.</w:t>
            </w:r>
          </w:p>
        </w:tc>
      </w:tr>
      <w:tr w:rsidR="001F1260" w:rsidRPr="00B315E6" w14:paraId="3F0D9EE0" w14:textId="77777777" w:rsidTr="0099695A">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C0" w14:textId="77777777" w:rsidR="001F1260" w:rsidRPr="00CD554F" w:rsidRDefault="001F1260" w:rsidP="00E004A5">
            <w:r>
              <w:t>All staff to complete the mandatory Equality Matters training every two years to ensure they are up to date with the latest legislation, Council’</w:t>
            </w:r>
            <w:r w:rsidRPr="00CD554F">
              <w:t>s policies and best practice.</w:t>
            </w:r>
          </w:p>
          <w:p w14:paraId="3F0D9EC1" w14:textId="77777777" w:rsidR="001F1260" w:rsidRPr="00CD554F" w:rsidRDefault="001F1260" w:rsidP="00CD554F">
            <w:pPr>
              <w:pStyle w:val="ListParagraph"/>
              <w:numPr>
                <w:ilvl w:val="0"/>
                <w:numId w:val="12"/>
              </w:numPr>
            </w:pPr>
            <w:r w:rsidRPr="00CD554F">
              <w:t xml:space="preserve">KPI - % of new starters who completed the mandatory Equality Matters training (either face to face or E-Learning Module) within the first 8 weeks of their employment </w:t>
            </w:r>
          </w:p>
          <w:p w14:paraId="3F0D9EC2" w14:textId="77777777" w:rsidR="001F1260" w:rsidRPr="00D434DA" w:rsidRDefault="001F1260" w:rsidP="00CD554F">
            <w:pPr>
              <w:pStyle w:val="ListParagraph"/>
              <w:numPr>
                <w:ilvl w:val="0"/>
                <w:numId w:val="12"/>
              </w:numPr>
            </w:pPr>
            <w:r w:rsidRPr="00CD554F">
              <w:t>KPI - % of existing staff (as at April '16) who are up to date with Equality Matters refresher training (either face to face or E-Learning Module)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0D9EC3" w14:textId="77777777" w:rsidR="001F1260" w:rsidRDefault="001F1260" w:rsidP="0099695A">
            <w:pPr>
              <w:spacing w:line="276" w:lineRule="auto"/>
              <w:ind w:left="-108"/>
              <w:jc w:val="center"/>
              <w:rPr>
                <w:rFonts w:eastAsia="Calibri"/>
              </w:rPr>
            </w:pPr>
          </w:p>
          <w:p w14:paraId="3F0D9EC4" w14:textId="77777777" w:rsidR="00E82581" w:rsidRDefault="00E82581" w:rsidP="0099695A">
            <w:pPr>
              <w:spacing w:line="276" w:lineRule="auto"/>
              <w:ind w:left="-108"/>
              <w:jc w:val="center"/>
              <w:rPr>
                <w:rFonts w:eastAsia="Calibri"/>
              </w:rPr>
            </w:pPr>
          </w:p>
          <w:p w14:paraId="3F0D9EC5" w14:textId="77777777" w:rsidR="00E82581" w:rsidRDefault="00E82581" w:rsidP="0099695A">
            <w:pPr>
              <w:spacing w:line="276" w:lineRule="auto"/>
              <w:ind w:left="-108"/>
              <w:jc w:val="center"/>
              <w:rPr>
                <w:rFonts w:eastAsia="Calibri"/>
              </w:rPr>
            </w:pPr>
          </w:p>
          <w:p w14:paraId="3F0D9EC6" w14:textId="77777777" w:rsidR="00E82581" w:rsidRDefault="00E82581" w:rsidP="00E82581">
            <w:pPr>
              <w:spacing w:line="276" w:lineRule="auto"/>
              <w:rPr>
                <w:rFonts w:eastAsia="Calibri"/>
              </w:rPr>
            </w:pPr>
          </w:p>
          <w:p w14:paraId="3F0D9EC7" w14:textId="77777777" w:rsidR="00E82581" w:rsidRDefault="00E82581" w:rsidP="00E82581">
            <w:pPr>
              <w:spacing w:line="276" w:lineRule="auto"/>
              <w:jc w:val="center"/>
              <w:rPr>
                <w:rFonts w:eastAsia="Calibri"/>
              </w:rPr>
            </w:pPr>
            <w:r>
              <w:rPr>
                <w:rFonts w:eastAsia="Calibri"/>
              </w:rPr>
              <w:t>100%</w:t>
            </w:r>
          </w:p>
          <w:p w14:paraId="3F0D9EC8" w14:textId="77777777" w:rsidR="00E82581" w:rsidRDefault="00E82581" w:rsidP="0099695A">
            <w:pPr>
              <w:spacing w:line="276" w:lineRule="auto"/>
              <w:ind w:left="-108"/>
              <w:jc w:val="center"/>
              <w:rPr>
                <w:rFonts w:eastAsia="Calibri"/>
              </w:rPr>
            </w:pPr>
          </w:p>
          <w:p w14:paraId="3F0D9EC9" w14:textId="77777777" w:rsidR="00E82581" w:rsidRDefault="00E82581" w:rsidP="0099695A">
            <w:pPr>
              <w:spacing w:line="276" w:lineRule="auto"/>
              <w:ind w:left="-108"/>
              <w:jc w:val="center"/>
              <w:rPr>
                <w:rFonts w:eastAsia="Calibri"/>
              </w:rPr>
            </w:pPr>
          </w:p>
          <w:p w14:paraId="3F0D9ECA" w14:textId="77777777" w:rsidR="00E82581" w:rsidRDefault="00E82581" w:rsidP="0099695A">
            <w:pPr>
              <w:spacing w:line="276" w:lineRule="auto"/>
              <w:ind w:left="-108"/>
              <w:jc w:val="center"/>
              <w:rPr>
                <w:rFonts w:eastAsia="Calibri"/>
              </w:rPr>
            </w:pPr>
          </w:p>
          <w:p w14:paraId="3F0D9ECB" w14:textId="77777777" w:rsidR="00E82581" w:rsidRPr="00B315E6" w:rsidRDefault="00E82581" w:rsidP="00E82581">
            <w:pPr>
              <w:spacing w:line="276" w:lineRule="auto"/>
              <w:ind w:left="-108"/>
              <w:jc w:val="center"/>
              <w:rPr>
                <w:rFonts w:eastAsia="Calibri"/>
              </w:rPr>
            </w:pPr>
            <w:r>
              <w:rPr>
                <w:rFonts w:eastAsia="Calibri"/>
              </w:rPr>
              <w:t>100%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0D9ECC" w14:textId="77777777" w:rsidR="001F1260" w:rsidRDefault="001F1260" w:rsidP="0099695A">
            <w:pPr>
              <w:spacing w:line="276" w:lineRule="auto"/>
              <w:ind w:left="-108"/>
              <w:jc w:val="center"/>
              <w:rPr>
                <w:rFonts w:eastAsia="Calibri"/>
              </w:rPr>
            </w:pPr>
          </w:p>
          <w:p w14:paraId="3F0D9ECD" w14:textId="77777777" w:rsidR="00E82581" w:rsidRDefault="00E82581" w:rsidP="0099695A">
            <w:pPr>
              <w:spacing w:line="276" w:lineRule="auto"/>
              <w:ind w:left="-108"/>
              <w:jc w:val="center"/>
              <w:rPr>
                <w:rFonts w:eastAsia="Calibri"/>
              </w:rPr>
            </w:pPr>
          </w:p>
          <w:p w14:paraId="3F0D9ECE" w14:textId="77777777" w:rsidR="00E82581" w:rsidRDefault="00E82581" w:rsidP="0099695A">
            <w:pPr>
              <w:spacing w:line="276" w:lineRule="auto"/>
              <w:ind w:left="-108"/>
              <w:jc w:val="center"/>
              <w:rPr>
                <w:rFonts w:eastAsia="Calibri"/>
              </w:rPr>
            </w:pPr>
          </w:p>
          <w:p w14:paraId="3F0D9ECF" w14:textId="77777777" w:rsidR="00E82581" w:rsidRDefault="00E82581" w:rsidP="0099695A">
            <w:pPr>
              <w:spacing w:line="276" w:lineRule="auto"/>
              <w:ind w:left="-108"/>
              <w:jc w:val="center"/>
              <w:rPr>
                <w:rFonts w:eastAsia="Calibri"/>
              </w:rPr>
            </w:pPr>
          </w:p>
          <w:p w14:paraId="3F0D9ED0" w14:textId="77777777" w:rsidR="00E82581" w:rsidRDefault="00E82581" w:rsidP="0099695A">
            <w:pPr>
              <w:spacing w:line="276" w:lineRule="auto"/>
              <w:ind w:left="-108"/>
              <w:jc w:val="center"/>
              <w:rPr>
                <w:rFonts w:eastAsia="Calibri"/>
              </w:rPr>
            </w:pPr>
            <w:r>
              <w:rPr>
                <w:rFonts w:eastAsia="Calibri"/>
              </w:rPr>
              <w:t>36%</w:t>
            </w:r>
          </w:p>
          <w:p w14:paraId="3F0D9ED1" w14:textId="77777777" w:rsidR="00E82581" w:rsidRDefault="00E82581" w:rsidP="0099695A">
            <w:pPr>
              <w:spacing w:line="276" w:lineRule="auto"/>
              <w:ind w:left="-108"/>
              <w:jc w:val="center"/>
              <w:rPr>
                <w:rFonts w:eastAsia="Calibri"/>
              </w:rPr>
            </w:pPr>
          </w:p>
          <w:p w14:paraId="3F0D9ED2" w14:textId="77777777" w:rsidR="00E82581" w:rsidRDefault="00E82581" w:rsidP="0099695A">
            <w:pPr>
              <w:spacing w:line="276" w:lineRule="auto"/>
              <w:ind w:left="-108"/>
              <w:jc w:val="center"/>
              <w:rPr>
                <w:rFonts w:eastAsia="Calibri"/>
              </w:rPr>
            </w:pPr>
          </w:p>
          <w:p w14:paraId="3F0D9ED3" w14:textId="77777777" w:rsidR="00E82581" w:rsidRDefault="00E82581" w:rsidP="0099695A">
            <w:pPr>
              <w:spacing w:line="276" w:lineRule="auto"/>
              <w:ind w:left="-108"/>
              <w:jc w:val="center"/>
              <w:rPr>
                <w:rFonts w:eastAsia="Calibri"/>
              </w:rPr>
            </w:pPr>
          </w:p>
          <w:p w14:paraId="3F0D9ED4" w14:textId="77777777" w:rsidR="00E82581" w:rsidRPr="00B315E6" w:rsidRDefault="00E82581" w:rsidP="00E82581">
            <w:pPr>
              <w:spacing w:line="276" w:lineRule="auto"/>
              <w:ind w:left="-108"/>
              <w:jc w:val="center"/>
              <w:rPr>
                <w:rFonts w:eastAsia="Calibri"/>
              </w:rPr>
            </w:pPr>
            <w:r>
              <w:rPr>
                <w:rFonts w:eastAsia="Calibri"/>
              </w:rPr>
              <w:t>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6574B" w14:textId="77777777" w:rsidR="00C313A8" w:rsidRDefault="00C313A8" w:rsidP="0099695A">
            <w:pPr>
              <w:spacing w:line="276" w:lineRule="auto"/>
              <w:ind w:left="-108"/>
              <w:jc w:val="center"/>
              <w:rPr>
                <w:rFonts w:eastAsia="Calibri"/>
                <w:b/>
              </w:rPr>
            </w:pPr>
          </w:p>
          <w:p w14:paraId="5E4F8B92" w14:textId="77777777" w:rsidR="00C313A8" w:rsidRDefault="00C313A8" w:rsidP="0099695A">
            <w:pPr>
              <w:spacing w:line="276" w:lineRule="auto"/>
              <w:ind w:left="-108"/>
              <w:jc w:val="center"/>
              <w:rPr>
                <w:rFonts w:eastAsia="Calibri"/>
                <w:b/>
              </w:rPr>
            </w:pPr>
          </w:p>
          <w:p w14:paraId="2CAA4A24" w14:textId="77777777" w:rsidR="00C313A8" w:rsidRDefault="00C313A8" w:rsidP="0099695A">
            <w:pPr>
              <w:spacing w:line="276" w:lineRule="auto"/>
              <w:ind w:left="-108"/>
              <w:jc w:val="center"/>
              <w:rPr>
                <w:rFonts w:eastAsia="Calibri"/>
                <w:b/>
              </w:rPr>
            </w:pPr>
          </w:p>
          <w:p w14:paraId="1BEB0259" w14:textId="77777777" w:rsidR="00C313A8" w:rsidRDefault="00C313A8" w:rsidP="0099695A">
            <w:pPr>
              <w:spacing w:line="276" w:lineRule="auto"/>
              <w:ind w:left="-108"/>
              <w:jc w:val="center"/>
              <w:rPr>
                <w:rFonts w:eastAsia="Calibri"/>
                <w:b/>
              </w:rPr>
            </w:pPr>
          </w:p>
          <w:p w14:paraId="3F0D9ED5" w14:textId="77777777" w:rsidR="001F1260" w:rsidRDefault="00E82581" w:rsidP="0099695A">
            <w:pPr>
              <w:spacing w:line="276" w:lineRule="auto"/>
              <w:ind w:left="-108"/>
              <w:jc w:val="center"/>
              <w:rPr>
                <w:rFonts w:eastAsia="Calibri"/>
                <w:b/>
              </w:rPr>
            </w:pPr>
            <w:r>
              <w:rPr>
                <w:rFonts w:eastAsia="Calibri"/>
                <w:b/>
              </w:rPr>
              <w:t>HR</w:t>
            </w:r>
          </w:p>
          <w:p w14:paraId="3F0D9ED6" w14:textId="77777777" w:rsidR="00E82581" w:rsidRDefault="00E82581" w:rsidP="0099695A">
            <w:pPr>
              <w:spacing w:line="276" w:lineRule="auto"/>
              <w:ind w:left="-108"/>
              <w:jc w:val="center"/>
              <w:rPr>
                <w:rFonts w:eastAsia="Calibri"/>
                <w:b/>
              </w:rPr>
            </w:pPr>
          </w:p>
          <w:p w14:paraId="3F0D9ED7" w14:textId="77777777" w:rsidR="00E82581" w:rsidRDefault="00E82581" w:rsidP="0099695A">
            <w:pPr>
              <w:spacing w:line="276" w:lineRule="auto"/>
              <w:ind w:left="-108"/>
              <w:jc w:val="center"/>
              <w:rPr>
                <w:rFonts w:eastAsia="Calibri"/>
                <w:b/>
              </w:rPr>
            </w:pPr>
          </w:p>
          <w:p w14:paraId="3F0D9ED8" w14:textId="77777777" w:rsidR="00E82581" w:rsidRDefault="00E82581" w:rsidP="0099695A">
            <w:pPr>
              <w:spacing w:line="276" w:lineRule="auto"/>
              <w:ind w:left="-108"/>
              <w:jc w:val="center"/>
              <w:rPr>
                <w:rFonts w:eastAsia="Calibri"/>
                <w:b/>
              </w:rPr>
            </w:pPr>
          </w:p>
          <w:p w14:paraId="3F0D9ED9" w14:textId="77777777" w:rsidR="00E82581" w:rsidRPr="00B46282" w:rsidRDefault="00E82581" w:rsidP="0099695A">
            <w:pPr>
              <w:spacing w:line="276" w:lineRule="auto"/>
              <w:ind w:left="-108"/>
              <w:jc w:val="center"/>
              <w:rPr>
                <w:rFonts w:eastAsia="Calibri"/>
                <w:b/>
              </w:rPr>
            </w:pPr>
            <w:r>
              <w:rPr>
                <w:rFonts w:eastAsia="Calibri"/>
                <w:b/>
              </w:rPr>
              <w:t>HR</w:t>
            </w:r>
          </w:p>
        </w:tc>
        <w:tc>
          <w:tcPr>
            <w:tcW w:w="6522" w:type="dxa"/>
            <w:tcBorders>
              <w:top w:val="single" w:sz="4" w:space="0" w:color="auto"/>
              <w:left w:val="single" w:sz="4" w:space="0" w:color="auto"/>
              <w:bottom w:val="single" w:sz="4" w:space="0" w:color="auto"/>
              <w:right w:val="single" w:sz="4" w:space="0" w:color="auto"/>
            </w:tcBorders>
          </w:tcPr>
          <w:p w14:paraId="3F0D9EDA" w14:textId="77777777" w:rsidR="00EB1F98" w:rsidRDefault="001F1260" w:rsidP="00EB1F98">
            <w:r>
              <w:t xml:space="preserve">Q3 – 58% of all staff have completed the Equality Matters training (if we exclude staff </w:t>
            </w:r>
            <w:r w:rsidR="00EB1F98">
              <w:t>that</w:t>
            </w:r>
            <w:r>
              <w:t xml:space="preserve"> don’t have access to a computer</w:t>
            </w:r>
            <w:r w:rsidR="0086332B">
              <w:t>, predominantly at the depot,</w:t>
            </w:r>
            <w:r>
              <w:t xml:space="preserve"> then this rises to 87%)</w:t>
            </w:r>
            <w:r w:rsidR="0086332B">
              <w:t xml:space="preserve">. </w:t>
            </w:r>
            <w:r w:rsidR="008C7123">
              <w:t xml:space="preserve">L&amp;D </w:t>
            </w:r>
            <w:r w:rsidR="00EB1F98" w:rsidRPr="00EB1F98">
              <w:t xml:space="preserve">are working with Managers to arrange Classroom training where </w:t>
            </w:r>
            <w:proofErr w:type="gramStart"/>
            <w:r w:rsidR="00EB1F98" w:rsidRPr="00EB1F98">
              <w:t>staff do</w:t>
            </w:r>
            <w:proofErr w:type="gramEnd"/>
            <w:r w:rsidR="00EB1F98" w:rsidRPr="00EB1F98">
              <w:t xml:space="preserve"> not have IT access. </w:t>
            </w:r>
          </w:p>
          <w:p w14:paraId="3F0D9EDB" w14:textId="77777777" w:rsidR="00EB1F98" w:rsidRDefault="00EB1F98" w:rsidP="00EB1F98"/>
          <w:p w14:paraId="3F0D9EDC" w14:textId="77777777" w:rsidR="00EB1F98" w:rsidRDefault="00EB1F98" w:rsidP="00EB1F98">
            <w:r>
              <w:t>Quarter 4 results are better at:</w:t>
            </w:r>
          </w:p>
          <w:p w14:paraId="3F0D9EDD" w14:textId="77777777" w:rsidR="00EB1F98" w:rsidRPr="00CD554F" w:rsidRDefault="00EB1F98" w:rsidP="00EB1F98">
            <w:pPr>
              <w:pStyle w:val="ListParagraph"/>
              <w:numPr>
                <w:ilvl w:val="0"/>
                <w:numId w:val="26"/>
              </w:numPr>
            </w:pPr>
            <w:r w:rsidRPr="00CD554F">
              <w:t xml:space="preserve">KPI - % of new starters who completed the mandatory Equality Matters training (either face to face or E-Learning Module) within the first 8 weeks of their employment </w:t>
            </w:r>
            <w:r>
              <w:t>55%</w:t>
            </w:r>
          </w:p>
          <w:p w14:paraId="3F0D9EDE" w14:textId="77777777" w:rsidR="00EB1F98" w:rsidRPr="00EB1F98" w:rsidRDefault="00EB1F98" w:rsidP="00EB1F98">
            <w:pPr>
              <w:pStyle w:val="ListParagraph"/>
              <w:numPr>
                <w:ilvl w:val="0"/>
                <w:numId w:val="26"/>
              </w:numPr>
            </w:pPr>
            <w:r w:rsidRPr="00CD554F">
              <w:t>KPI - % of existing staff (as at April '16) who are up to date with Equality Matters refresher training (either face to face or E-Learning Module)</w:t>
            </w:r>
            <w:r>
              <w:t xml:space="preserve"> 71%</w:t>
            </w:r>
          </w:p>
          <w:p w14:paraId="3F0D9EDF" w14:textId="77777777" w:rsidR="00EB1F98" w:rsidRPr="00B315E6" w:rsidRDefault="00EB1F98" w:rsidP="00EB1F98">
            <w:pPr>
              <w:rPr>
                <w:rFonts w:eastAsia="Calibri"/>
              </w:rPr>
            </w:pPr>
          </w:p>
        </w:tc>
      </w:tr>
      <w:tr w:rsidR="001F1260" w:rsidRPr="00B315E6" w14:paraId="3F0D9EE2" w14:textId="77777777" w:rsidTr="00F958C1">
        <w:trPr>
          <w:trHeight w:val="525"/>
        </w:trPr>
        <w:tc>
          <w:tcPr>
            <w:tcW w:w="15168" w:type="dxa"/>
            <w:gridSpan w:val="5"/>
            <w:tcBorders>
              <w:top w:val="single" w:sz="4" w:space="0" w:color="auto"/>
              <w:left w:val="single" w:sz="4" w:space="0" w:color="auto"/>
              <w:bottom w:val="single" w:sz="4" w:space="0" w:color="auto"/>
              <w:right w:val="single" w:sz="4" w:space="0" w:color="auto"/>
            </w:tcBorders>
            <w:shd w:val="clear" w:color="000000" w:fill="CCC0DA"/>
            <w:vAlign w:val="center"/>
          </w:tcPr>
          <w:p w14:paraId="3F0D9EE1" w14:textId="77777777" w:rsidR="001F1260" w:rsidRPr="00B46282" w:rsidRDefault="001F1260" w:rsidP="00F958C1">
            <w:pPr>
              <w:rPr>
                <w:b/>
                <w:sz w:val="28"/>
              </w:rPr>
            </w:pPr>
            <w:r w:rsidRPr="00B46282">
              <w:rPr>
                <w:b/>
                <w:sz w:val="28"/>
              </w:rPr>
              <w:t>Objective 2: An improved understanding of our communities to ensure that services are fair, equitable and accessible to all and reduce inequality</w:t>
            </w:r>
          </w:p>
        </w:tc>
      </w:tr>
      <w:tr w:rsidR="001F1260" w:rsidRPr="00B315E6" w14:paraId="3F0D9EEA"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E3" w14:textId="77777777" w:rsidR="001F1260" w:rsidRPr="009E74ED" w:rsidRDefault="001F1260" w:rsidP="009E74ED">
            <w:r w:rsidRPr="003357F9">
              <w:t xml:space="preserve">Review and strengthen monitoring systems across the council to ensure a consistent approach to collating and analysing diversity data to inform policy and service development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E4" w14:textId="77777777" w:rsidR="001F1260" w:rsidRPr="00B315E6" w:rsidRDefault="00FC4D6B" w:rsidP="0099695A">
            <w:pPr>
              <w:ind w:left="-108"/>
              <w:jc w:val="center"/>
              <w:rPr>
                <w:lang w:eastAsia="en-GB"/>
              </w:rPr>
            </w:pPr>
            <w:r>
              <w:rPr>
                <w:lang w:eastAsia="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E5" w14:textId="77777777" w:rsidR="001F1260" w:rsidRPr="00B315E6" w:rsidRDefault="00FC4D6B" w:rsidP="0099695A">
            <w:pPr>
              <w:ind w:left="-108"/>
              <w:jc w:val="center"/>
              <w:rPr>
                <w:lang w:eastAsia="en-GB"/>
              </w:rPr>
            </w:pPr>
            <w:r>
              <w:rPr>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EE6" w14:textId="77777777" w:rsidR="001F1260" w:rsidRPr="00B46282" w:rsidRDefault="001E34CF" w:rsidP="0099695A">
            <w:pPr>
              <w:ind w:left="-108"/>
              <w:jc w:val="center"/>
              <w:rPr>
                <w:b/>
                <w:lang w:eastAsia="en-GB"/>
              </w:rPr>
            </w:pPr>
            <w:r>
              <w:rPr>
                <w:b/>
                <w:lang w:eastAsia="en-GB"/>
              </w:rPr>
              <w:t>R</w:t>
            </w:r>
          </w:p>
        </w:tc>
        <w:tc>
          <w:tcPr>
            <w:tcW w:w="6521" w:type="dxa"/>
            <w:tcBorders>
              <w:top w:val="single" w:sz="4" w:space="0" w:color="auto"/>
              <w:left w:val="single" w:sz="4" w:space="0" w:color="auto"/>
              <w:bottom w:val="single" w:sz="4" w:space="0" w:color="auto"/>
              <w:right w:val="single" w:sz="4" w:space="0" w:color="auto"/>
            </w:tcBorders>
          </w:tcPr>
          <w:p w14:paraId="3F0D9EE7" w14:textId="77777777" w:rsidR="001F1260" w:rsidRPr="007E1B35" w:rsidRDefault="001F1260" w:rsidP="00230BDC">
            <w:pPr>
              <w:pStyle w:val="ListParagraph"/>
              <w:numPr>
                <w:ilvl w:val="0"/>
                <w:numId w:val="27"/>
              </w:numPr>
            </w:pPr>
            <w:r w:rsidRPr="007E1B35">
              <w:t>Due to the replacement of the CCPH/CRM system we cannot provide a date of completion of the project to update all complaints reporting procedures to capture diversity monitoring information on all nine Protected Characteristics – this project is yet to be determined with Sopra Steria</w:t>
            </w:r>
          </w:p>
          <w:p w14:paraId="3F0D9EE8" w14:textId="77777777" w:rsidR="001F1260" w:rsidRPr="007E1B35" w:rsidRDefault="001F1260" w:rsidP="001F1260"/>
          <w:p w14:paraId="3F0D9EE9" w14:textId="77777777" w:rsidR="001F1260" w:rsidRPr="0058185B" w:rsidRDefault="001F1260" w:rsidP="00230BDC">
            <w:pPr>
              <w:pStyle w:val="ListParagraph"/>
              <w:numPr>
                <w:ilvl w:val="0"/>
                <w:numId w:val="27"/>
              </w:numPr>
              <w:rPr>
                <w:b/>
                <w:color w:val="0000FF"/>
                <w:lang w:eastAsia="en-GB"/>
              </w:rPr>
            </w:pPr>
            <w:r w:rsidRPr="007E1B35">
              <w:t>The cost of incorporating diversity monitoring into My Harrow Account is being investigated.  To avoid additional cost, it was planned that this could be included in the CRM/CCPH upgrade, to be used as master data. The replacement of CCPH does not include complaints, so complaints will remain on SAP.  If the change is required to SAP then a request from the policy team will need to be submitted to Sopra Steria to obtain costs and determine whether funding is available.</w:t>
            </w:r>
          </w:p>
        </w:tc>
      </w:tr>
      <w:tr w:rsidR="001F1260" w:rsidRPr="00B315E6" w14:paraId="3F0D9EF1"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EB" w14:textId="77777777" w:rsidR="001F1260" w:rsidRPr="009E74ED" w:rsidRDefault="001F1260" w:rsidP="009E74ED">
            <w:r w:rsidRPr="003357F9">
              <w:t>Continue to pursue the aspirations contained in the BSL Charter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EC" w14:textId="77777777" w:rsidR="001F1260" w:rsidRPr="00B315E6" w:rsidRDefault="00FC4D6B" w:rsidP="0099695A">
            <w:pPr>
              <w:ind w:left="-108"/>
              <w:jc w:val="center"/>
              <w:rPr>
                <w:lang w:eastAsia="en-GB"/>
              </w:rPr>
            </w:pPr>
            <w:r>
              <w:rPr>
                <w:lang w:eastAsia="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ED" w14:textId="77777777" w:rsidR="001F1260" w:rsidRPr="00B315E6" w:rsidRDefault="00FC4D6B" w:rsidP="0099695A">
            <w:pPr>
              <w:ind w:left="-108"/>
              <w:jc w:val="center"/>
              <w:rPr>
                <w:lang w:eastAsia="en-GB"/>
              </w:rPr>
            </w:pPr>
            <w:r>
              <w:rPr>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EEE" w14:textId="1F3ABCD7" w:rsidR="001F1260" w:rsidRPr="00B46282" w:rsidRDefault="00C313A8" w:rsidP="00FC4D6B">
            <w:pPr>
              <w:ind w:left="-108"/>
              <w:jc w:val="center"/>
              <w:rPr>
                <w:b/>
                <w:lang w:eastAsia="en-GB"/>
              </w:rPr>
            </w:pPr>
            <w:r>
              <w:rPr>
                <w:b/>
                <w:lang w:eastAsia="en-GB"/>
              </w:rPr>
              <w:t>A</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F0D9EEF" w14:textId="77777777" w:rsidR="00626529" w:rsidRDefault="00626529" w:rsidP="00DC7989">
            <w:r>
              <w:t>The latest for Q4 is as follows:</w:t>
            </w:r>
            <w:r>
              <w:br/>
            </w:r>
          </w:p>
          <w:p w14:paraId="3F0D9EF0" w14:textId="4D90418A" w:rsidR="001F1260" w:rsidRPr="00B315E6" w:rsidRDefault="00626529" w:rsidP="00DC7989">
            <w:pPr>
              <w:rPr>
                <w:color w:val="0000FF"/>
                <w:lang w:eastAsia="en-GB"/>
              </w:rPr>
            </w:pPr>
            <w:r>
              <w:t>Resources Fairer Working Group has considered this. Given previous work, which has included BSL trained staff in Access Harrow, work was also undertaken to understand whether there was any scope for Courts or Bailiffs services. It was concluded that it was the Courts</w:t>
            </w:r>
            <w:r w:rsidR="001E42AA">
              <w:t>’</w:t>
            </w:r>
            <w:r>
              <w:t xml:space="preserve"> responsibility to provide support for those who may need this type of support (which has not seen a request to date), and for Bailiffs, one</w:t>
            </w:r>
            <w:r w:rsidRPr="00B902A2">
              <w:t xml:space="preserve"> of the</w:t>
            </w:r>
            <w:r>
              <w:t xml:space="preserve"> two companies that we use</w:t>
            </w:r>
            <w:r w:rsidRPr="00B902A2">
              <w:t xml:space="preserve"> has a</w:t>
            </w:r>
            <w:r>
              <w:t>greed</w:t>
            </w:r>
            <w:r w:rsidRPr="00B902A2">
              <w:t xml:space="preserve"> to look into setting up some BSL provision.</w:t>
            </w:r>
          </w:p>
        </w:tc>
      </w:tr>
      <w:tr w:rsidR="001F1260" w:rsidRPr="00B315E6" w14:paraId="3F0D9EFB"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F2" w14:textId="77777777" w:rsidR="001F1260" w:rsidRPr="00CD554F" w:rsidRDefault="001F1260" w:rsidP="00BC21C6">
            <w:proofErr w:type="spellStart"/>
            <w:r w:rsidRPr="00CD554F">
              <w:t>DisabledGo</w:t>
            </w:r>
            <w:proofErr w:type="spellEnd"/>
            <w:r w:rsidRPr="00CD554F">
              <w:t xml:space="preserve"> – increase the number of people who use the Access Guide</w:t>
            </w:r>
          </w:p>
          <w:p w14:paraId="3F0D9EF3" w14:textId="77777777" w:rsidR="001F1260" w:rsidRPr="00CD554F" w:rsidRDefault="001F1260" w:rsidP="009E74ED">
            <w:pPr>
              <w:pStyle w:val="ListParagraph"/>
              <w:numPr>
                <w:ilvl w:val="0"/>
                <w:numId w:val="13"/>
              </w:numPr>
            </w:pPr>
            <w:r w:rsidRPr="00CD554F">
              <w:t xml:space="preserve">KPI - Number of hits on the </w:t>
            </w:r>
            <w:proofErr w:type="spellStart"/>
            <w:r w:rsidRPr="00CD554F">
              <w:t>DisabledGo</w:t>
            </w:r>
            <w:proofErr w:type="spellEnd"/>
            <w:r w:rsidRPr="00CD554F">
              <w:t xml:space="preserve"> site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F4" w14:textId="77777777" w:rsidR="00556F0A" w:rsidRDefault="00556F0A" w:rsidP="009E74ED">
            <w:pPr>
              <w:ind w:left="-108"/>
              <w:jc w:val="center"/>
              <w:rPr>
                <w:lang w:eastAsia="en-GB"/>
              </w:rPr>
            </w:pPr>
          </w:p>
          <w:p w14:paraId="3F0D9EF5" w14:textId="77777777" w:rsidR="001F1260" w:rsidRPr="00B315E6" w:rsidRDefault="00F4735A" w:rsidP="009E74ED">
            <w:pPr>
              <w:ind w:left="-108"/>
              <w:jc w:val="center"/>
              <w:rPr>
                <w:lang w:eastAsia="en-GB"/>
              </w:rPr>
            </w:pPr>
            <w:r>
              <w:rPr>
                <w:lang w:eastAsia="en-GB"/>
              </w:rPr>
              <w:t>8,832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F6" w14:textId="77777777" w:rsidR="001F1260" w:rsidRDefault="001F1260" w:rsidP="0099695A">
            <w:pPr>
              <w:ind w:left="-108"/>
              <w:jc w:val="center"/>
              <w:rPr>
                <w:lang w:eastAsia="en-GB"/>
              </w:rPr>
            </w:pPr>
          </w:p>
          <w:p w14:paraId="3F0D9EF7" w14:textId="77777777" w:rsidR="00F4735A" w:rsidRPr="00B315E6" w:rsidRDefault="00F4735A" w:rsidP="0099695A">
            <w:pPr>
              <w:ind w:left="-108"/>
              <w:jc w:val="center"/>
              <w:rPr>
                <w:lang w:eastAsia="en-GB"/>
              </w:rPr>
            </w:pPr>
            <w:r>
              <w:rPr>
                <w:lang w:eastAsia="en-GB"/>
              </w:rPr>
              <w:t>15,511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EF8" w14:textId="77777777" w:rsidR="00556F0A" w:rsidRDefault="00556F0A" w:rsidP="0099695A">
            <w:pPr>
              <w:ind w:left="-108"/>
              <w:jc w:val="center"/>
              <w:rPr>
                <w:b/>
                <w:lang w:eastAsia="en-GB"/>
              </w:rPr>
            </w:pPr>
          </w:p>
          <w:p w14:paraId="3F0D9EF9" w14:textId="77777777" w:rsidR="001F1260" w:rsidRPr="00B46282" w:rsidRDefault="00F4735A" w:rsidP="0099695A">
            <w:pPr>
              <w:ind w:left="-108"/>
              <w:jc w:val="center"/>
              <w:rPr>
                <w:b/>
                <w:lang w:eastAsia="en-GB"/>
              </w:rPr>
            </w:pPr>
            <w:r>
              <w:rPr>
                <w:b/>
                <w:lang w:eastAsia="en-GB"/>
              </w:rPr>
              <w:t>H</w:t>
            </w:r>
            <w:r w:rsidR="00720AFF">
              <w:rPr>
                <w:b/>
                <w:lang w:eastAsia="en-GB"/>
              </w:rPr>
              <w:t>G</w:t>
            </w:r>
          </w:p>
        </w:tc>
        <w:tc>
          <w:tcPr>
            <w:tcW w:w="6521" w:type="dxa"/>
            <w:tcBorders>
              <w:top w:val="single" w:sz="4" w:space="0" w:color="auto"/>
              <w:left w:val="single" w:sz="4" w:space="0" w:color="auto"/>
              <w:bottom w:val="single" w:sz="4" w:space="0" w:color="auto"/>
              <w:right w:val="single" w:sz="4" w:space="0" w:color="auto"/>
            </w:tcBorders>
          </w:tcPr>
          <w:p w14:paraId="3F0D9EFA" w14:textId="77777777" w:rsidR="00720AFF" w:rsidRPr="00F4735A" w:rsidRDefault="0096716F" w:rsidP="004C61BE">
            <w:r w:rsidRPr="00A50292">
              <w:t>A</w:t>
            </w:r>
            <w:r>
              <w:t xml:space="preserve"> communications</w:t>
            </w:r>
            <w:r w:rsidRPr="00A50292">
              <w:t xml:space="preserve"> plan </w:t>
            </w:r>
            <w:r>
              <w:t>was developed and the service has been publicised in the CEO Newsletter, internal comms and staff updates. A press release has also been issued and the service has been publicised via social media.</w:t>
            </w:r>
          </w:p>
        </w:tc>
      </w:tr>
      <w:tr w:rsidR="001F1260" w:rsidRPr="00B315E6" w14:paraId="3F0D9F02"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EFC" w14:textId="77777777" w:rsidR="001F1260" w:rsidRPr="00CD554F" w:rsidRDefault="001F1260" w:rsidP="00BC21C6">
            <w:r w:rsidRPr="00CD554F">
              <w:t>Attainment – Closing the gap</w:t>
            </w:r>
          </w:p>
          <w:p w14:paraId="3F0D9EFD" w14:textId="0D6C3336" w:rsidR="001F1260" w:rsidRPr="00CD554F" w:rsidRDefault="001F1260" w:rsidP="00CD554F">
            <w:pPr>
              <w:pStyle w:val="ListParagraph"/>
              <w:numPr>
                <w:ilvl w:val="0"/>
                <w:numId w:val="13"/>
              </w:numPr>
            </w:pPr>
            <w:r w:rsidRPr="00CD554F">
              <w:t>KPIs – Attainment KPIs (See People Scorecard</w:t>
            </w:r>
            <w:bookmarkStart w:id="0" w:name="_GoBack"/>
            <w:bookmarkEnd w:id="0"/>
            <w:r w:rsidRPr="00CD554F">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FE" w14:textId="77777777" w:rsidR="001F1260" w:rsidRPr="00B315E6" w:rsidRDefault="00FC4D6B" w:rsidP="0099695A">
            <w:pPr>
              <w:ind w:left="-108"/>
              <w:jc w:val="center"/>
              <w:rPr>
                <w:lang w:eastAsia="en-GB"/>
              </w:rPr>
            </w:pPr>
            <w:r>
              <w:rPr>
                <w:lang w:eastAsia="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EFF" w14:textId="77777777" w:rsidR="001F1260" w:rsidRPr="00B315E6" w:rsidRDefault="00FC4D6B" w:rsidP="0099695A">
            <w:pPr>
              <w:ind w:left="-108"/>
              <w:jc w:val="center"/>
              <w:rPr>
                <w:lang w:eastAsia="en-GB"/>
              </w:rPr>
            </w:pPr>
            <w:r>
              <w:rPr>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F00" w14:textId="77777777" w:rsidR="001F1260" w:rsidRPr="00B46282" w:rsidRDefault="001E34CF" w:rsidP="0099695A">
            <w:pPr>
              <w:ind w:left="-108"/>
              <w:jc w:val="center"/>
              <w:rPr>
                <w:rFonts w:eastAsia="Calibri"/>
                <w:b/>
                <w:bCs/>
              </w:rPr>
            </w:pPr>
            <w:r>
              <w:rPr>
                <w:rFonts w:eastAsia="Calibri"/>
                <w:b/>
                <w:bCs/>
              </w:rPr>
              <w:t>R</w:t>
            </w:r>
          </w:p>
        </w:tc>
        <w:tc>
          <w:tcPr>
            <w:tcW w:w="6521" w:type="dxa"/>
            <w:tcBorders>
              <w:top w:val="single" w:sz="4" w:space="0" w:color="auto"/>
              <w:left w:val="single" w:sz="4" w:space="0" w:color="auto"/>
              <w:bottom w:val="single" w:sz="4" w:space="0" w:color="auto"/>
              <w:right w:val="single" w:sz="4" w:space="0" w:color="auto"/>
            </w:tcBorders>
          </w:tcPr>
          <w:p w14:paraId="3F0D9F01" w14:textId="77777777" w:rsidR="001F1260" w:rsidRPr="00B315E6" w:rsidRDefault="0096716F" w:rsidP="00DC7989">
            <w:pPr>
              <w:rPr>
                <w:lang w:eastAsia="en-GB"/>
              </w:rPr>
            </w:pPr>
            <w:r w:rsidRPr="007B38C5">
              <w:t>The closing the gap indicators will not be reported against until October 2017 or even Quarter 3 – due to the significant changes in reporting at KS2 &amp; KS4.</w:t>
            </w:r>
          </w:p>
        </w:tc>
      </w:tr>
      <w:tr w:rsidR="001F1260" w:rsidRPr="00B315E6" w14:paraId="3F0D9F0D"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F03" w14:textId="77777777" w:rsidR="001F1260" w:rsidRDefault="001F1260" w:rsidP="00BC21C6">
            <w:r>
              <w:t>Adult Learning</w:t>
            </w:r>
          </w:p>
          <w:p w14:paraId="3F0D9F04" w14:textId="77777777" w:rsidR="001F1260" w:rsidRDefault="001F1260" w:rsidP="00BC21C6">
            <w:r>
              <w:t>Development, delivery and evaluation of community learning programmes to support recovery from mental health problems</w:t>
            </w:r>
          </w:p>
          <w:p w14:paraId="3F0D9F05" w14:textId="77777777" w:rsidR="001F1260" w:rsidRPr="009E74ED" w:rsidRDefault="001F1260" w:rsidP="00BC21C6">
            <w:pPr>
              <w:pStyle w:val="ListParagraph"/>
              <w:numPr>
                <w:ilvl w:val="0"/>
                <w:numId w:val="14"/>
              </w:numPr>
            </w:pPr>
            <w:r w:rsidRPr="00CD554F">
              <w:t>KPI - % of adults in contact with secondary mental health services in paid employment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F06" w14:textId="77777777" w:rsidR="001F1260" w:rsidRDefault="001F1260" w:rsidP="0099695A">
            <w:pPr>
              <w:ind w:left="-108"/>
              <w:jc w:val="center"/>
              <w:rPr>
                <w:lang w:eastAsia="en-GB"/>
              </w:rPr>
            </w:pPr>
          </w:p>
          <w:p w14:paraId="3F0D9F07" w14:textId="77777777" w:rsidR="00E82581" w:rsidRPr="00B315E6" w:rsidRDefault="00E82581" w:rsidP="003D69F6">
            <w:pPr>
              <w:ind w:left="-108"/>
              <w:jc w:val="center"/>
              <w:rPr>
                <w:lang w:eastAsia="en-GB"/>
              </w:rPr>
            </w:pPr>
            <w:r>
              <w:rPr>
                <w:lang w:eastAsia="en-GB"/>
              </w:rPr>
              <w:t>6.5%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F08" w14:textId="77777777" w:rsidR="001F1260" w:rsidRDefault="001F1260" w:rsidP="0099695A">
            <w:pPr>
              <w:ind w:left="-108"/>
              <w:jc w:val="center"/>
              <w:rPr>
                <w:lang w:eastAsia="en-GB"/>
              </w:rPr>
            </w:pPr>
          </w:p>
          <w:p w14:paraId="3F0D9F09" w14:textId="77777777" w:rsidR="00E82581" w:rsidRPr="00B315E6" w:rsidRDefault="00E82581" w:rsidP="0099695A">
            <w:pPr>
              <w:ind w:left="-108"/>
              <w:jc w:val="center"/>
              <w:rPr>
                <w:lang w:eastAsia="en-GB"/>
              </w:rPr>
            </w:pPr>
            <w:r>
              <w:rPr>
                <w:lang w:eastAsia="en-GB"/>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F0A" w14:textId="77777777" w:rsidR="001F1260" w:rsidRDefault="001F1260" w:rsidP="0099695A">
            <w:pPr>
              <w:ind w:left="-108"/>
              <w:jc w:val="center"/>
              <w:rPr>
                <w:rFonts w:eastAsia="Calibri"/>
                <w:b/>
                <w:bCs/>
              </w:rPr>
            </w:pPr>
          </w:p>
          <w:p w14:paraId="3F0D9F0B" w14:textId="77777777" w:rsidR="00E82581" w:rsidRPr="00B46282" w:rsidRDefault="00E82581" w:rsidP="003D69F6">
            <w:pPr>
              <w:jc w:val="center"/>
              <w:rPr>
                <w:rFonts w:eastAsia="Calibri"/>
                <w:b/>
                <w:bCs/>
              </w:rPr>
            </w:pPr>
            <w:r>
              <w:rPr>
                <w:rFonts w:eastAsia="Calibri"/>
                <w:b/>
                <w:bCs/>
              </w:rPr>
              <w:t>HG</w:t>
            </w:r>
          </w:p>
        </w:tc>
        <w:tc>
          <w:tcPr>
            <w:tcW w:w="6521" w:type="dxa"/>
            <w:tcBorders>
              <w:top w:val="single" w:sz="4" w:space="0" w:color="auto"/>
              <w:left w:val="single" w:sz="4" w:space="0" w:color="auto"/>
              <w:bottom w:val="single" w:sz="4" w:space="0" w:color="auto"/>
              <w:right w:val="single" w:sz="4" w:space="0" w:color="auto"/>
            </w:tcBorders>
          </w:tcPr>
          <w:p w14:paraId="3F0D9F0C" w14:textId="1303276B" w:rsidR="001F1260" w:rsidRPr="0096716F" w:rsidRDefault="0096716F" w:rsidP="00DC7989">
            <w:pPr>
              <w:rPr>
                <w:b/>
                <w:lang w:eastAsia="en-GB"/>
              </w:rPr>
            </w:pPr>
            <w:r w:rsidRPr="0096716F">
              <w:t>320 residents partic</w:t>
            </w:r>
            <w:r w:rsidR="00A95FD4">
              <w:t>i</w:t>
            </w:r>
            <w:r w:rsidRPr="0096716F">
              <w:t>pants benefited from the Active Minds projects and entered learning provision</w:t>
            </w:r>
          </w:p>
        </w:tc>
      </w:tr>
      <w:tr w:rsidR="001F1260" w:rsidRPr="00B315E6" w14:paraId="3F0D9F1A" w14:textId="77777777" w:rsidTr="00FC4D6B">
        <w:tc>
          <w:tcPr>
            <w:tcW w:w="5387" w:type="dxa"/>
            <w:tcBorders>
              <w:top w:val="single" w:sz="4" w:space="0" w:color="auto"/>
              <w:left w:val="single" w:sz="4" w:space="0" w:color="auto"/>
              <w:bottom w:val="single" w:sz="4" w:space="0" w:color="auto"/>
              <w:right w:val="single" w:sz="4" w:space="0" w:color="auto"/>
            </w:tcBorders>
            <w:shd w:val="clear" w:color="auto" w:fill="auto"/>
          </w:tcPr>
          <w:p w14:paraId="3F0D9F0E" w14:textId="77777777" w:rsidR="001F1260" w:rsidRPr="00CD554F" w:rsidRDefault="001E30EC" w:rsidP="00CD554F">
            <w:r>
              <w:t xml:space="preserve">Adult Social Care - </w:t>
            </w:r>
            <w:r w:rsidR="001F1260">
              <w:t xml:space="preserve">Given the changes taking place, ensure these do not adversely impact on Adult Social </w:t>
            </w:r>
            <w:r w:rsidR="001F1260" w:rsidRPr="00CD554F">
              <w:t xml:space="preserve">Care Services </w:t>
            </w:r>
          </w:p>
          <w:p w14:paraId="3F0D9F0F" w14:textId="77777777" w:rsidR="001F1260" w:rsidRPr="003357F9" w:rsidRDefault="001F1260" w:rsidP="00CD554F">
            <w:pPr>
              <w:pStyle w:val="ListParagraph"/>
              <w:numPr>
                <w:ilvl w:val="0"/>
                <w:numId w:val="14"/>
              </w:numPr>
            </w:pPr>
            <w:r w:rsidRPr="00CD554F">
              <w:t>KPI – equality of service provision (Adult Social Care)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F10" w14:textId="77777777" w:rsidR="001F1260" w:rsidRDefault="001F1260" w:rsidP="00993BB9">
            <w:pPr>
              <w:ind w:left="-108"/>
              <w:jc w:val="center"/>
              <w:rPr>
                <w:lang w:eastAsia="en-GB"/>
              </w:rPr>
            </w:pPr>
          </w:p>
          <w:p w14:paraId="3F0D9F11" w14:textId="77777777" w:rsidR="00E82581" w:rsidRDefault="00E82581" w:rsidP="00993BB9">
            <w:pPr>
              <w:ind w:left="-108"/>
              <w:jc w:val="center"/>
              <w:rPr>
                <w:lang w:eastAsia="en-GB"/>
              </w:rPr>
            </w:pPr>
          </w:p>
          <w:p w14:paraId="3F0D9F12" w14:textId="77777777" w:rsidR="00E82581" w:rsidRPr="00B315E6" w:rsidRDefault="00E82581" w:rsidP="00993BB9">
            <w:pPr>
              <w:ind w:left="-108"/>
              <w:jc w:val="center"/>
              <w:rPr>
                <w:lang w:eastAsia="en-GB"/>
              </w:rPr>
            </w:pPr>
            <w:r>
              <w:rPr>
                <w:lang w:eastAsia="en-GB"/>
              </w:rPr>
              <w:t>0.9-1.1%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F13" w14:textId="77777777" w:rsidR="001F1260" w:rsidRDefault="001F1260" w:rsidP="0099695A">
            <w:pPr>
              <w:ind w:left="-108"/>
              <w:jc w:val="center"/>
              <w:rPr>
                <w:lang w:eastAsia="en-GB"/>
              </w:rPr>
            </w:pPr>
          </w:p>
          <w:p w14:paraId="3F0D9F14" w14:textId="77777777" w:rsidR="00E82581" w:rsidRDefault="00E82581" w:rsidP="0099695A">
            <w:pPr>
              <w:ind w:left="-108"/>
              <w:jc w:val="center"/>
              <w:rPr>
                <w:lang w:eastAsia="en-GB"/>
              </w:rPr>
            </w:pPr>
          </w:p>
          <w:p w14:paraId="3F0D9F15" w14:textId="77777777" w:rsidR="00E82581" w:rsidRPr="00B315E6" w:rsidRDefault="00E82581" w:rsidP="0099695A">
            <w:pPr>
              <w:ind w:left="-108"/>
              <w:jc w:val="center"/>
              <w:rPr>
                <w:lang w:eastAsia="en-GB"/>
              </w:rPr>
            </w:pPr>
            <w:r>
              <w:rPr>
                <w:lang w:eastAsia="en-GB"/>
              </w:rPr>
              <w:t>0.99%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F0D9F16" w14:textId="77777777" w:rsidR="00E82581" w:rsidRDefault="00E82581" w:rsidP="00E82581">
            <w:pPr>
              <w:ind w:left="-108"/>
              <w:jc w:val="center"/>
              <w:rPr>
                <w:b/>
                <w:lang w:eastAsia="en-GB"/>
              </w:rPr>
            </w:pPr>
          </w:p>
          <w:p w14:paraId="3F0D9F17" w14:textId="77777777" w:rsidR="00E82581" w:rsidRDefault="00E82581" w:rsidP="00E82581">
            <w:pPr>
              <w:ind w:left="-108"/>
              <w:jc w:val="center"/>
              <w:rPr>
                <w:b/>
                <w:lang w:eastAsia="en-GB"/>
              </w:rPr>
            </w:pPr>
          </w:p>
          <w:p w14:paraId="3F0D9F18" w14:textId="77777777" w:rsidR="00E82581" w:rsidRPr="00B46282" w:rsidRDefault="00E82581" w:rsidP="00E82581">
            <w:pPr>
              <w:ind w:left="-108"/>
              <w:jc w:val="center"/>
              <w:rPr>
                <w:b/>
                <w:lang w:eastAsia="en-GB"/>
              </w:rPr>
            </w:pPr>
            <w:r>
              <w:rPr>
                <w:b/>
                <w:lang w:eastAsia="en-GB"/>
              </w:rPr>
              <w:t>G</w:t>
            </w:r>
          </w:p>
        </w:tc>
        <w:tc>
          <w:tcPr>
            <w:tcW w:w="6521" w:type="dxa"/>
            <w:tcBorders>
              <w:top w:val="single" w:sz="4" w:space="0" w:color="auto"/>
              <w:left w:val="single" w:sz="4" w:space="0" w:color="auto"/>
              <w:bottom w:val="single" w:sz="4" w:space="0" w:color="auto"/>
              <w:right w:val="single" w:sz="4" w:space="0" w:color="auto"/>
            </w:tcBorders>
          </w:tcPr>
          <w:p w14:paraId="3F0D9F19" w14:textId="77777777" w:rsidR="001F1260" w:rsidRPr="00B315E6" w:rsidRDefault="001F1260" w:rsidP="0099695A">
            <w:pPr>
              <w:ind w:left="-108"/>
              <w:rPr>
                <w:lang w:eastAsia="en-GB"/>
              </w:rPr>
            </w:pPr>
          </w:p>
        </w:tc>
      </w:tr>
      <w:tr w:rsidR="001F1260" w:rsidRPr="00B315E6" w14:paraId="3F0D9F1C" w14:textId="77777777" w:rsidTr="00E675B2">
        <w:trPr>
          <w:trHeight w:val="525"/>
        </w:trPr>
        <w:tc>
          <w:tcPr>
            <w:tcW w:w="15168" w:type="dxa"/>
            <w:gridSpan w:val="5"/>
            <w:tcBorders>
              <w:top w:val="single" w:sz="4" w:space="0" w:color="auto"/>
              <w:left w:val="single" w:sz="4" w:space="0" w:color="auto"/>
              <w:bottom w:val="single" w:sz="4" w:space="0" w:color="auto"/>
              <w:right w:val="single" w:sz="4" w:space="0" w:color="auto"/>
            </w:tcBorders>
            <w:shd w:val="clear" w:color="000000" w:fill="CCC0DA"/>
            <w:vAlign w:val="center"/>
          </w:tcPr>
          <w:p w14:paraId="3F0D9F1B" w14:textId="77777777" w:rsidR="001F1260" w:rsidRPr="00B46282" w:rsidRDefault="001F1260" w:rsidP="00E675B2">
            <w:pPr>
              <w:rPr>
                <w:b/>
                <w:sz w:val="32"/>
              </w:rPr>
            </w:pPr>
            <w:r w:rsidRPr="00B46282">
              <w:rPr>
                <w:b/>
                <w:sz w:val="32"/>
              </w:rPr>
              <w:t>Objective 3: Promote and celebrate the diversity of our borough and foster community cohesion</w:t>
            </w:r>
          </w:p>
        </w:tc>
      </w:tr>
      <w:tr w:rsidR="001F1260" w:rsidRPr="00B315E6" w14:paraId="3F0D9F25" w14:textId="77777777" w:rsidTr="0099695A">
        <w:tc>
          <w:tcPr>
            <w:tcW w:w="5387" w:type="dxa"/>
            <w:tcBorders>
              <w:top w:val="single" w:sz="4" w:space="0" w:color="auto"/>
              <w:left w:val="single" w:sz="4" w:space="0" w:color="auto"/>
              <w:bottom w:val="single" w:sz="4" w:space="0" w:color="auto"/>
              <w:right w:val="single" w:sz="4" w:space="0" w:color="auto"/>
            </w:tcBorders>
            <w:shd w:val="clear" w:color="auto" w:fill="auto"/>
          </w:tcPr>
          <w:p w14:paraId="3F0D9F1D" w14:textId="77777777" w:rsidR="001F1260" w:rsidRPr="003357F9" w:rsidRDefault="001F1260" w:rsidP="00E004A5">
            <w:r w:rsidRPr="003357F9">
              <w:t>Undertake a feasibility study to establish a borough wide Diversity Network</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0D9F1E" w14:textId="77777777" w:rsidR="001F1260" w:rsidRPr="00B315E6" w:rsidRDefault="001F1260" w:rsidP="0099695A">
            <w:pPr>
              <w:spacing w:line="276" w:lineRule="auto"/>
              <w:ind w:left="-108"/>
              <w:rPr>
                <w:rFonts w:eastAsia="Calibri"/>
              </w:rPr>
            </w:pPr>
          </w:p>
          <w:p w14:paraId="3F0D9F1F" w14:textId="77777777" w:rsidR="001F1260" w:rsidRPr="00B315E6" w:rsidRDefault="00FC4D6B" w:rsidP="00993BB9">
            <w:pPr>
              <w:spacing w:line="276" w:lineRule="auto"/>
              <w:ind w:left="-108"/>
              <w:jc w:val="center"/>
              <w:rPr>
                <w:rFonts w:eastAsia="Calibri"/>
              </w:rPr>
            </w:pPr>
            <w:r>
              <w:rPr>
                <w:rFonts w:eastAsia="Calibri"/>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0D9F20" w14:textId="77777777" w:rsidR="001F1260" w:rsidRPr="00B315E6" w:rsidRDefault="001F1260" w:rsidP="0099695A">
            <w:pPr>
              <w:spacing w:line="276" w:lineRule="auto"/>
              <w:ind w:left="-108"/>
              <w:rPr>
                <w:rFonts w:eastAsia="Calibri"/>
                <w:sz w:val="20"/>
                <w:szCs w:val="20"/>
              </w:rPr>
            </w:pPr>
          </w:p>
          <w:p w14:paraId="3F0D9F21" w14:textId="77777777" w:rsidR="001F1260" w:rsidRPr="00B315E6" w:rsidRDefault="00FC4D6B" w:rsidP="00993BB9">
            <w:pPr>
              <w:spacing w:line="276" w:lineRule="auto"/>
              <w:ind w:left="-108"/>
              <w:jc w:val="center"/>
              <w:rPr>
                <w:rFonts w:eastAsia="Calibri"/>
              </w:rPr>
            </w:pPr>
            <w:r>
              <w:rPr>
                <w:rFonts w:eastAsia="Calibri"/>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0D9F22" w14:textId="77777777" w:rsidR="001F1260" w:rsidRPr="00B46282" w:rsidRDefault="001F1260" w:rsidP="0099695A">
            <w:pPr>
              <w:spacing w:line="276" w:lineRule="auto"/>
              <w:ind w:left="-108"/>
              <w:rPr>
                <w:rFonts w:eastAsia="Calibri"/>
                <w:b/>
              </w:rPr>
            </w:pPr>
          </w:p>
          <w:p w14:paraId="3F0D9F23" w14:textId="77777777" w:rsidR="001F1260" w:rsidRPr="00B46282" w:rsidRDefault="008E20BC" w:rsidP="0099695A">
            <w:pPr>
              <w:spacing w:line="276" w:lineRule="auto"/>
              <w:ind w:left="-108"/>
              <w:jc w:val="center"/>
              <w:rPr>
                <w:rFonts w:eastAsia="Calibri"/>
                <w:b/>
              </w:rPr>
            </w:pPr>
            <w:r>
              <w:rPr>
                <w:rFonts w:eastAsia="Calibri"/>
                <w:b/>
              </w:rPr>
              <w:t>R</w:t>
            </w:r>
          </w:p>
        </w:tc>
        <w:tc>
          <w:tcPr>
            <w:tcW w:w="6522" w:type="dxa"/>
            <w:tcBorders>
              <w:top w:val="single" w:sz="4" w:space="0" w:color="auto"/>
              <w:left w:val="single" w:sz="4" w:space="0" w:color="auto"/>
              <w:bottom w:val="single" w:sz="4" w:space="0" w:color="auto"/>
              <w:right w:val="single" w:sz="4" w:space="0" w:color="auto"/>
            </w:tcBorders>
          </w:tcPr>
          <w:p w14:paraId="3F0D9F24" w14:textId="1516BED0" w:rsidR="001F1260" w:rsidRPr="007E1B35" w:rsidRDefault="003F6694" w:rsidP="003F6694">
            <w:r w:rsidRPr="007E1B35">
              <w:t>Until now there has been</w:t>
            </w:r>
            <w:r w:rsidR="001F1260" w:rsidRPr="007E1B35">
              <w:t xml:space="preserve"> no capacity or resources within statutory partners who are integral to such a group for such a body, hence no further action </w:t>
            </w:r>
            <w:r w:rsidRPr="007E1B35">
              <w:t>is being taken in this reporting year. However, in future we will be looking to existing organisations and networks that work with the Council to formalise the good work that is already taking place.</w:t>
            </w:r>
          </w:p>
        </w:tc>
      </w:tr>
      <w:tr w:rsidR="001F1260" w:rsidRPr="00B315E6" w14:paraId="3F0D9F44" w14:textId="77777777" w:rsidTr="0099695A">
        <w:tc>
          <w:tcPr>
            <w:tcW w:w="5387" w:type="dxa"/>
            <w:tcBorders>
              <w:top w:val="single" w:sz="4" w:space="0" w:color="auto"/>
              <w:left w:val="single" w:sz="4" w:space="0" w:color="auto"/>
              <w:bottom w:val="single" w:sz="4" w:space="0" w:color="auto"/>
              <w:right w:val="single" w:sz="4" w:space="0" w:color="auto"/>
            </w:tcBorders>
            <w:shd w:val="clear" w:color="auto" w:fill="auto"/>
          </w:tcPr>
          <w:p w14:paraId="3F0D9F27" w14:textId="141274E7" w:rsidR="001F1260" w:rsidRDefault="001F1260" w:rsidP="0025147A">
            <w:r w:rsidRPr="003357F9">
              <w:t>Organise, deliver and celebrate key diversity events within the borough</w:t>
            </w:r>
            <w:r w:rsidR="0025147A">
              <w:t xml:space="preserve">. </w:t>
            </w:r>
            <w:r w:rsidRPr="00202600">
              <w:t>Work in partnership with partners, stakeholders and the VCS to organise, deliver and celebrate the events</w:t>
            </w:r>
          </w:p>
          <w:p w14:paraId="3F0D9F28" w14:textId="77777777" w:rsidR="001F1260" w:rsidRPr="001F1260" w:rsidRDefault="001F1260" w:rsidP="001F1260">
            <w:pPr>
              <w:pStyle w:val="ListParagraph"/>
              <w:numPr>
                <w:ilvl w:val="0"/>
                <w:numId w:val="14"/>
              </w:numPr>
              <w:spacing w:line="276" w:lineRule="auto"/>
            </w:pPr>
            <w:r w:rsidRPr="00CD554F">
              <w:t xml:space="preserve">KPI - % of residents who agree that </w:t>
            </w:r>
            <w:r w:rsidRPr="00FC4D6B">
              <w:rPr>
                <w:i/>
              </w:rPr>
              <w:t xml:space="preserve">people from different backgrounds get </w:t>
            </w:r>
            <w:r w:rsidRPr="00CD554F">
              <w:t>on well together in their area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D9F29" w14:textId="77777777" w:rsidR="001F1260" w:rsidRDefault="001F1260" w:rsidP="0099695A">
            <w:pPr>
              <w:spacing w:line="276" w:lineRule="auto"/>
              <w:ind w:left="-108"/>
              <w:jc w:val="center"/>
              <w:rPr>
                <w:rFonts w:eastAsia="Calibri"/>
              </w:rPr>
            </w:pPr>
          </w:p>
          <w:p w14:paraId="3F0D9F2A" w14:textId="77777777" w:rsidR="00E82581" w:rsidRDefault="00E82581" w:rsidP="0099695A">
            <w:pPr>
              <w:spacing w:line="276" w:lineRule="auto"/>
              <w:ind w:left="-108"/>
              <w:jc w:val="center"/>
              <w:rPr>
                <w:rFonts w:eastAsia="Calibri"/>
              </w:rPr>
            </w:pPr>
          </w:p>
          <w:p w14:paraId="3F0D9F2B" w14:textId="77777777" w:rsidR="00E82581" w:rsidRDefault="00E82581" w:rsidP="0099695A">
            <w:pPr>
              <w:spacing w:line="276" w:lineRule="auto"/>
              <w:ind w:left="-108"/>
              <w:jc w:val="center"/>
              <w:rPr>
                <w:rFonts w:eastAsia="Calibri"/>
              </w:rPr>
            </w:pPr>
          </w:p>
          <w:p w14:paraId="3F0D9F2C" w14:textId="77777777" w:rsidR="00E82581" w:rsidRDefault="00E82581" w:rsidP="0099695A">
            <w:pPr>
              <w:spacing w:line="276" w:lineRule="auto"/>
              <w:ind w:left="-108"/>
              <w:jc w:val="center"/>
              <w:rPr>
                <w:rFonts w:eastAsia="Calibri"/>
              </w:rPr>
            </w:pPr>
          </w:p>
          <w:p w14:paraId="3F0D9F2D" w14:textId="77777777" w:rsidR="00E82581" w:rsidRPr="00B315E6" w:rsidRDefault="00E82581" w:rsidP="0099695A">
            <w:pPr>
              <w:spacing w:line="276" w:lineRule="auto"/>
              <w:ind w:left="-108"/>
              <w:jc w:val="center"/>
              <w:rPr>
                <w:rFonts w:eastAsia="Calibri"/>
              </w:rPr>
            </w:pPr>
            <w:r>
              <w:rPr>
                <w:rFonts w:eastAsia="Calibri"/>
              </w:rPr>
              <w:t>70%</w:t>
            </w:r>
          </w:p>
          <w:p w14:paraId="3F0D9F2E" w14:textId="77777777" w:rsidR="001F1260" w:rsidRPr="00B315E6" w:rsidRDefault="001F1260" w:rsidP="0099695A">
            <w:pPr>
              <w:spacing w:line="276" w:lineRule="auto"/>
              <w:ind w:left="-108"/>
              <w:jc w:val="center"/>
              <w:rPr>
                <w:rFonts w:eastAsia="Calibri"/>
              </w:rPr>
            </w:pPr>
          </w:p>
          <w:p w14:paraId="3F0D9F2F" w14:textId="77777777" w:rsidR="001F1260" w:rsidRPr="00B315E6" w:rsidRDefault="001F1260" w:rsidP="0099695A">
            <w:pPr>
              <w:spacing w:line="276" w:lineRule="auto"/>
              <w:ind w:left="-108"/>
              <w:jc w:val="center"/>
              <w:rPr>
                <w:rFonts w:eastAsia="Calibri"/>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0D9F30" w14:textId="77777777" w:rsidR="001F1260" w:rsidRPr="00B315E6" w:rsidRDefault="001F1260" w:rsidP="0099695A">
            <w:pPr>
              <w:spacing w:line="276" w:lineRule="auto"/>
              <w:ind w:left="-108"/>
              <w:rPr>
                <w:rFonts w:eastAsia="Calibri"/>
              </w:rPr>
            </w:pPr>
          </w:p>
          <w:p w14:paraId="3F0D9F31" w14:textId="77777777" w:rsidR="001F1260" w:rsidRDefault="001F1260" w:rsidP="00993BB9">
            <w:pPr>
              <w:spacing w:line="276" w:lineRule="auto"/>
              <w:ind w:left="-108"/>
              <w:rPr>
                <w:rFonts w:eastAsia="Calibri"/>
              </w:rPr>
            </w:pPr>
          </w:p>
          <w:p w14:paraId="3F0D9F32" w14:textId="77777777" w:rsidR="00E82581" w:rsidRDefault="00E82581" w:rsidP="00993BB9">
            <w:pPr>
              <w:spacing w:line="276" w:lineRule="auto"/>
              <w:ind w:left="-108"/>
              <w:rPr>
                <w:rFonts w:eastAsia="Calibri"/>
              </w:rPr>
            </w:pPr>
          </w:p>
          <w:p w14:paraId="3F0D9F34" w14:textId="77777777" w:rsidR="00E82581" w:rsidRDefault="00E82581" w:rsidP="00E82581">
            <w:pPr>
              <w:spacing w:line="276" w:lineRule="auto"/>
              <w:jc w:val="center"/>
              <w:rPr>
                <w:rFonts w:eastAsia="Calibri"/>
              </w:rPr>
            </w:pPr>
          </w:p>
          <w:p w14:paraId="3924E4D3" w14:textId="77777777" w:rsidR="00C313A8" w:rsidRDefault="00C313A8" w:rsidP="00E82581">
            <w:pPr>
              <w:spacing w:line="276" w:lineRule="auto"/>
              <w:jc w:val="center"/>
              <w:rPr>
                <w:rFonts w:eastAsia="Calibri"/>
              </w:rPr>
            </w:pPr>
          </w:p>
          <w:p w14:paraId="576B44B3" w14:textId="77777777" w:rsidR="00C313A8" w:rsidRDefault="00C313A8" w:rsidP="00E82581">
            <w:pPr>
              <w:spacing w:line="276" w:lineRule="auto"/>
              <w:jc w:val="center"/>
              <w:rPr>
                <w:rFonts w:eastAsia="Calibri"/>
              </w:rPr>
            </w:pPr>
          </w:p>
          <w:p w14:paraId="3F0D9F35" w14:textId="77777777" w:rsidR="00E82581" w:rsidRPr="00B315E6" w:rsidRDefault="00E82581" w:rsidP="00E82581">
            <w:pPr>
              <w:spacing w:line="276" w:lineRule="auto"/>
              <w:jc w:val="center"/>
              <w:rPr>
                <w:rFonts w:eastAsia="Calibri"/>
              </w:rPr>
            </w:pPr>
            <w:r>
              <w:rPr>
                <w:rFonts w:eastAsia="Calibri"/>
              </w:rPr>
              <w:t>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D9F36" w14:textId="77777777" w:rsidR="001F1260" w:rsidRDefault="001F1260" w:rsidP="000874F6">
            <w:pPr>
              <w:spacing w:line="276" w:lineRule="auto"/>
              <w:jc w:val="center"/>
              <w:rPr>
                <w:rFonts w:eastAsia="Calibri"/>
                <w:b/>
              </w:rPr>
            </w:pPr>
          </w:p>
          <w:p w14:paraId="3F0D9F37" w14:textId="77777777" w:rsidR="001F1260" w:rsidRPr="00B46282" w:rsidRDefault="001F1260" w:rsidP="000874F6">
            <w:pPr>
              <w:spacing w:line="276" w:lineRule="auto"/>
              <w:jc w:val="center"/>
              <w:rPr>
                <w:rFonts w:eastAsia="Calibri"/>
                <w:b/>
              </w:rPr>
            </w:pPr>
          </w:p>
          <w:p w14:paraId="3F0D9F38" w14:textId="77777777" w:rsidR="001F1260" w:rsidRPr="00B46282" w:rsidRDefault="001F1260" w:rsidP="0099695A">
            <w:pPr>
              <w:spacing w:line="276" w:lineRule="auto"/>
              <w:ind w:left="-108"/>
              <w:jc w:val="center"/>
              <w:rPr>
                <w:rFonts w:eastAsia="Calibri"/>
                <w:b/>
              </w:rPr>
            </w:pPr>
          </w:p>
          <w:p w14:paraId="3F0D9F3A" w14:textId="77777777" w:rsidR="001F1260" w:rsidRDefault="001F1260" w:rsidP="0099695A">
            <w:pPr>
              <w:spacing w:line="276" w:lineRule="auto"/>
              <w:ind w:left="-108"/>
              <w:jc w:val="center"/>
              <w:rPr>
                <w:rFonts w:eastAsia="Calibri"/>
                <w:b/>
              </w:rPr>
            </w:pPr>
          </w:p>
          <w:p w14:paraId="49375CE5" w14:textId="77777777" w:rsidR="00C313A8" w:rsidRDefault="00C313A8" w:rsidP="0099695A">
            <w:pPr>
              <w:spacing w:line="276" w:lineRule="auto"/>
              <w:ind w:left="-108"/>
              <w:jc w:val="center"/>
              <w:rPr>
                <w:rFonts w:eastAsia="Calibri"/>
                <w:b/>
              </w:rPr>
            </w:pPr>
          </w:p>
          <w:p w14:paraId="3F0D9F3B" w14:textId="77777777" w:rsidR="00E82581" w:rsidRPr="00B46282" w:rsidRDefault="008E20BC" w:rsidP="0099695A">
            <w:pPr>
              <w:spacing w:line="276" w:lineRule="auto"/>
              <w:ind w:left="-108"/>
              <w:jc w:val="center"/>
              <w:rPr>
                <w:rFonts w:eastAsia="Calibri"/>
                <w:b/>
              </w:rPr>
            </w:pPr>
            <w:r>
              <w:rPr>
                <w:rFonts w:eastAsia="Calibri"/>
                <w:b/>
              </w:rPr>
              <w:t>HG</w:t>
            </w:r>
          </w:p>
          <w:p w14:paraId="3F0D9F3C" w14:textId="77777777" w:rsidR="001F1260" w:rsidRPr="00B46282" w:rsidRDefault="001F1260" w:rsidP="0099695A">
            <w:pPr>
              <w:spacing w:line="276" w:lineRule="auto"/>
              <w:ind w:left="-108"/>
              <w:jc w:val="center"/>
              <w:rPr>
                <w:rFonts w:eastAsia="Calibri"/>
                <w:b/>
              </w:rPr>
            </w:pPr>
          </w:p>
          <w:p w14:paraId="3F0D9F3D" w14:textId="77777777" w:rsidR="001F1260" w:rsidRPr="00B46282" w:rsidRDefault="001F1260" w:rsidP="0099695A">
            <w:pPr>
              <w:spacing w:line="276" w:lineRule="auto"/>
              <w:ind w:left="-108"/>
              <w:jc w:val="center"/>
              <w:rPr>
                <w:rFonts w:eastAsia="Calibri"/>
                <w:b/>
              </w:rPr>
            </w:pPr>
          </w:p>
          <w:p w14:paraId="3F0D9F3E" w14:textId="77777777" w:rsidR="001F1260" w:rsidRPr="00B46282" w:rsidRDefault="001F1260" w:rsidP="0099695A">
            <w:pPr>
              <w:spacing w:line="276" w:lineRule="auto"/>
              <w:ind w:left="-108"/>
              <w:jc w:val="center"/>
              <w:rPr>
                <w:rFonts w:eastAsia="Calibri"/>
                <w:b/>
              </w:rPr>
            </w:pPr>
          </w:p>
        </w:tc>
        <w:tc>
          <w:tcPr>
            <w:tcW w:w="6522" w:type="dxa"/>
            <w:tcBorders>
              <w:top w:val="single" w:sz="4" w:space="0" w:color="auto"/>
              <w:left w:val="single" w:sz="4" w:space="0" w:color="auto"/>
              <w:bottom w:val="single" w:sz="4" w:space="0" w:color="auto"/>
              <w:right w:val="single" w:sz="4" w:space="0" w:color="auto"/>
            </w:tcBorders>
          </w:tcPr>
          <w:p w14:paraId="3F0D9F3F" w14:textId="66FD088F" w:rsidR="0096716F" w:rsidRDefault="0096716F" w:rsidP="00230BDC">
            <w:pPr>
              <w:pStyle w:val="ListParagraph"/>
              <w:numPr>
                <w:ilvl w:val="0"/>
                <w:numId w:val="14"/>
              </w:numPr>
            </w:pPr>
            <w:r>
              <w:t>The Council entered a walking group of 26 at this year</w:t>
            </w:r>
            <w:r w:rsidR="00640853">
              <w:t>’</w:t>
            </w:r>
            <w:r>
              <w:t>s London PRIDE on 25</w:t>
            </w:r>
            <w:r w:rsidRPr="00955CCE">
              <w:rPr>
                <w:vertAlign w:val="superscript"/>
              </w:rPr>
              <w:t>th</w:t>
            </w:r>
            <w:r>
              <w:t xml:space="preserve"> June. </w:t>
            </w:r>
          </w:p>
          <w:p w14:paraId="2FDB9E22" w14:textId="77777777" w:rsidR="00753998" w:rsidRDefault="00753998" w:rsidP="0096716F"/>
          <w:p w14:paraId="3F0D9F40" w14:textId="77777777" w:rsidR="0096716F" w:rsidRDefault="0096716F" w:rsidP="00230BDC">
            <w:pPr>
              <w:pStyle w:val="ListParagraph"/>
              <w:numPr>
                <w:ilvl w:val="0"/>
                <w:numId w:val="14"/>
              </w:numPr>
            </w:pPr>
            <w:r>
              <w:t>Working with Age UK Harrow to mark International Day of Older People.</w:t>
            </w:r>
          </w:p>
          <w:p w14:paraId="59D73365" w14:textId="77777777" w:rsidR="00753998" w:rsidRDefault="00753998" w:rsidP="0096716F">
            <w:pPr>
              <w:rPr>
                <w:color w:val="FF0000"/>
              </w:rPr>
            </w:pPr>
          </w:p>
          <w:p w14:paraId="3F0D9F41" w14:textId="77777777" w:rsidR="0096716F" w:rsidRDefault="0096716F" w:rsidP="00230BDC">
            <w:pPr>
              <w:pStyle w:val="ListParagraph"/>
              <w:numPr>
                <w:ilvl w:val="0"/>
                <w:numId w:val="14"/>
              </w:numPr>
            </w:pPr>
            <w:r w:rsidRPr="006D6883">
              <w:t xml:space="preserve">Council has supported Harrow Interfaith </w:t>
            </w:r>
            <w:r>
              <w:t>programme of events, including a series of question time events.</w:t>
            </w:r>
          </w:p>
          <w:p w14:paraId="3F0D9F42" w14:textId="77777777" w:rsidR="0096716F" w:rsidRDefault="0096716F" w:rsidP="00230BDC">
            <w:pPr>
              <w:pStyle w:val="ListParagraph"/>
              <w:numPr>
                <w:ilvl w:val="0"/>
                <w:numId w:val="14"/>
              </w:numPr>
            </w:pPr>
            <w:r>
              <w:t>Hate Crime awareness events in partnership with the Police</w:t>
            </w:r>
          </w:p>
          <w:p w14:paraId="42C9FC0C" w14:textId="77777777" w:rsidR="00753998" w:rsidRDefault="00753998" w:rsidP="0096716F"/>
          <w:p w14:paraId="3F0D9F43" w14:textId="1048FDF9" w:rsidR="001F1260" w:rsidRPr="00955CCE" w:rsidRDefault="0096716F" w:rsidP="00230BDC">
            <w:pPr>
              <w:pStyle w:val="ListParagraph"/>
              <w:numPr>
                <w:ilvl w:val="0"/>
                <w:numId w:val="14"/>
              </w:numPr>
              <w:spacing w:line="276" w:lineRule="auto"/>
              <w:rPr>
                <w:rFonts w:eastAsia="Calibri"/>
              </w:rPr>
            </w:pPr>
            <w:r>
              <w:t>A successful LGBT programme of events has been agreed and launched.</w:t>
            </w:r>
            <w:r w:rsidR="001F1260" w:rsidRPr="00230BDC">
              <w:rPr>
                <w:rFonts w:eastAsia="Calibri"/>
                <w:vanish/>
              </w:rPr>
              <w:cr/>
              <w:t xml:space="preserve"> Results by main ethinic groups are not published </w:t>
            </w:r>
          </w:p>
        </w:tc>
      </w:tr>
      <w:tr w:rsidR="001F1260" w:rsidRPr="00B315E6" w14:paraId="3F0D9F54" w14:textId="77777777" w:rsidTr="0096716F">
        <w:trPr>
          <w:trHeight w:val="2270"/>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3F0D9F45" w14:textId="77777777" w:rsidR="001F1260" w:rsidRPr="00CD554F" w:rsidRDefault="001F1260" w:rsidP="00E004A5">
            <w:r w:rsidRPr="00573552">
              <w:rPr>
                <w:b/>
              </w:rPr>
              <w:t xml:space="preserve">Engagement </w:t>
            </w:r>
            <w:r w:rsidRPr="003357F9">
              <w:t>– Deliver the engagement element o</w:t>
            </w:r>
            <w:r w:rsidRPr="00CD554F">
              <w:t>f the Prevent action plan</w:t>
            </w:r>
          </w:p>
          <w:p w14:paraId="3F0D9F46" w14:textId="77777777" w:rsidR="001F1260" w:rsidRPr="003357F9" w:rsidRDefault="001F1260" w:rsidP="00CD554F">
            <w:pPr>
              <w:pStyle w:val="ListParagraph"/>
              <w:numPr>
                <w:ilvl w:val="0"/>
                <w:numId w:val="14"/>
              </w:numPr>
            </w:pPr>
            <w:r w:rsidRPr="00CD554F">
              <w:t>KPI - % of residents who agree that people from different backgrounds get on well together in their area.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0D9F47" w14:textId="77777777" w:rsidR="001F1260" w:rsidRPr="00E82581" w:rsidRDefault="001F1260" w:rsidP="0099695A">
            <w:pPr>
              <w:spacing w:line="276" w:lineRule="auto"/>
              <w:ind w:left="-108"/>
              <w:rPr>
                <w:rFonts w:eastAsia="Calibri"/>
              </w:rPr>
            </w:pPr>
          </w:p>
          <w:p w14:paraId="3F0D9F48" w14:textId="77777777" w:rsidR="00E82581" w:rsidRPr="00E82581" w:rsidRDefault="00E82581" w:rsidP="0099695A">
            <w:pPr>
              <w:spacing w:line="276" w:lineRule="auto"/>
              <w:ind w:left="-108"/>
              <w:rPr>
                <w:rFonts w:eastAsia="Calibri"/>
              </w:rPr>
            </w:pPr>
          </w:p>
          <w:p w14:paraId="3F0D9F49" w14:textId="77777777" w:rsidR="00E82581" w:rsidRPr="00E82581" w:rsidRDefault="00E82581" w:rsidP="00E82581">
            <w:pPr>
              <w:spacing w:line="276" w:lineRule="auto"/>
              <w:ind w:left="-108"/>
              <w:jc w:val="center"/>
              <w:rPr>
                <w:rFonts w:eastAsia="Calibri"/>
              </w:rPr>
            </w:pPr>
            <w:r w:rsidRPr="00E82581">
              <w:rPr>
                <w:rFonts w:eastAsia="Calibri"/>
              </w:rPr>
              <w:t>70%</w:t>
            </w:r>
          </w:p>
        </w:tc>
        <w:tc>
          <w:tcPr>
            <w:tcW w:w="1133" w:type="dxa"/>
            <w:tcBorders>
              <w:top w:val="single" w:sz="4" w:space="0" w:color="auto"/>
              <w:left w:val="single" w:sz="4" w:space="0" w:color="auto"/>
              <w:bottom w:val="single" w:sz="4" w:space="0" w:color="auto"/>
              <w:right w:val="single" w:sz="4" w:space="0" w:color="auto"/>
            </w:tcBorders>
            <w:shd w:val="clear" w:color="auto" w:fill="auto"/>
            <w:noWrap/>
          </w:tcPr>
          <w:p w14:paraId="3F0D9F4A" w14:textId="77777777" w:rsidR="001F1260" w:rsidRPr="00B315E6" w:rsidRDefault="001F1260" w:rsidP="0099695A">
            <w:pPr>
              <w:spacing w:line="276" w:lineRule="auto"/>
              <w:ind w:left="-108"/>
              <w:rPr>
                <w:rFonts w:eastAsia="Calibri"/>
              </w:rPr>
            </w:pPr>
          </w:p>
          <w:p w14:paraId="3F0D9F4B" w14:textId="77777777" w:rsidR="001F1260" w:rsidRDefault="001F1260" w:rsidP="0099695A">
            <w:pPr>
              <w:spacing w:line="276" w:lineRule="auto"/>
              <w:ind w:left="-108"/>
              <w:rPr>
                <w:rFonts w:eastAsia="Calibri"/>
              </w:rPr>
            </w:pPr>
          </w:p>
          <w:p w14:paraId="3F0D9F4C" w14:textId="77777777" w:rsidR="00E82581" w:rsidRPr="00B315E6" w:rsidRDefault="00E82581" w:rsidP="00E82581">
            <w:pPr>
              <w:spacing w:line="276" w:lineRule="auto"/>
              <w:ind w:left="-108"/>
              <w:jc w:val="center"/>
              <w:rPr>
                <w:rFonts w:eastAsia="Calibri"/>
              </w:rPr>
            </w:pPr>
            <w:r>
              <w:rPr>
                <w:rFonts w:eastAsia="Calibri"/>
              </w:rPr>
              <w:t>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0D9F4D" w14:textId="77777777" w:rsidR="001F1260" w:rsidRDefault="001F1260" w:rsidP="000874F6">
            <w:pPr>
              <w:spacing w:line="276" w:lineRule="auto"/>
              <w:ind w:left="-108"/>
              <w:jc w:val="center"/>
              <w:rPr>
                <w:rFonts w:eastAsia="Calibri"/>
                <w:b/>
              </w:rPr>
            </w:pPr>
          </w:p>
          <w:p w14:paraId="3F0D9F4E" w14:textId="77777777" w:rsidR="00E82581" w:rsidRDefault="00E82581" w:rsidP="000874F6">
            <w:pPr>
              <w:spacing w:line="276" w:lineRule="auto"/>
              <w:ind w:left="-108"/>
              <w:jc w:val="center"/>
              <w:rPr>
                <w:rFonts w:eastAsia="Calibri"/>
                <w:b/>
              </w:rPr>
            </w:pPr>
          </w:p>
          <w:p w14:paraId="3F0D9F4F" w14:textId="77777777" w:rsidR="00E82581" w:rsidRPr="00B46282" w:rsidRDefault="008E20BC" w:rsidP="000874F6">
            <w:pPr>
              <w:spacing w:line="276" w:lineRule="auto"/>
              <w:ind w:left="-108"/>
              <w:jc w:val="center"/>
              <w:rPr>
                <w:rFonts w:eastAsia="Calibri"/>
                <w:b/>
              </w:rPr>
            </w:pPr>
            <w:r>
              <w:rPr>
                <w:rFonts w:eastAsia="Calibri"/>
                <w:b/>
              </w:rPr>
              <w:t>HG</w:t>
            </w:r>
          </w:p>
        </w:tc>
        <w:tc>
          <w:tcPr>
            <w:tcW w:w="6522" w:type="dxa"/>
            <w:tcBorders>
              <w:top w:val="single" w:sz="4" w:space="0" w:color="auto"/>
              <w:left w:val="single" w:sz="4" w:space="0" w:color="auto"/>
              <w:bottom w:val="single" w:sz="4" w:space="0" w:color="auto"/>
              <w:right w:val="single" w:sz="4" w:space="0" w:color="auto"/>
            </w:tcBorders>
          </w:tcPr>
          <w:p w14:paraId="3F0D9F50" w14:textId="77777777" w:rsidR="0096716F" w:rsidRDefault="0096716F" w:rsidP="0096716F">
            <w:r>
              <w:t>WRAP training being delivered, over 1111 trained in 15/16</w:t>
            </w:r>
          </w:p>
          <w:p w14:paraId="3F0D9F51" w14:textId="77777777" w:rsidR="0096716F" w:rsidRDefault="0096716F" w:rsidP="0096716F">
            <w:r>
              <w:t>Local channel arrangements established and promoted across partnerships and community leaders briefed</w:t>
            </w:r>
          </w:p>
          <w:p w14:paraId="3F0D9F52" w14:textId="77777777" w:rsidR="0096716F" w:rsidRDefault="0096716F" w:rsidP="0096716F">
            <w:r>
              <w:t>Safer Giving campaign messages widely circulated across the third sector, partners and faith sector</w:t>
            </w:r>
          </w:p>
          <w:p w14:paraId="3F0D9F53" w14:textId="77777777" w:rsidR="001F1260" w:rsidRPr="00B315E6" w:rsidRDefault="0096716F" w:rsidP="00753998">
            <w:pPr>
              <w:rPr>
                <w:lang w:eastAsia="en-GB"/>
              </w:rPr>
            </w:pPr>
            <w:r>
              <w:t>Halls for Hire recommendations and considerations actively promoted across the partnership, third sector and faith sector</w:t>
            </w:r>
          </w:p>
        </w:tc>
      </w:tr>
    </w:tbl>
    <w:p w14:paraId="3F0D9F55" w14:textId="77777777" w:rsidR="007B7BAC" w:rsidRPr="005B2A93" w:rsidRDefault="007B7BAC" w:rsidP="004C61BE">
      <w:pPr>
        <w:jc w:val="both"/>
      </w:pPr>
    </w:p>
    <w:sectPr w:rsidR="007B7BAC" w:rsidRPr="005B2A93" w:rsidSect="0070787C">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6EB78" w14:textId="77777777" w:rsidR="00B91D0F" w:rsidRDefault="00B91D0F" w:rsidP="00B91D0F">
      <w:r>
        <w:separator/>
      </w:r>
    </w:p>
  </w:endnote>
  <w:endnote w:type="continuationSeparator" w:id="0">
    <w:p w14:paraId="0F10A7FC" w14:textId="77777777" w:rsidR="00B91D0F" w:rsidRDefault="00B91D0F" w:rsidP="00B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74703"/>
      <w:docPartObj>
        <w:docPartGallery w:val="Page Numbers (Bottom of Page)"/>
        <w:docPartUnique/>
      </w:docPartObj>
    </w:sdtPr>
    <w:sdtEndPr>
      <w:rPr>
        <w:noProof/>
      </w:rPr>
    </w:sdtEndPr>
    <w:sdtContent>
      <w:p w14:paraId="528F3A77" w14:textId="5B1C2E33" w:rsidR="00B91D0F" w:rsidRDefault="00B91D0F">
        <w:pPr>
          <w:pStyle w:val="Footer"/>
          <w:jc w:val="right"/>
        </w:pPr>
        <w:r>
          <w:fldChar w:fldCharType="begin"/>
        </w:r>
        <w:r>
          <w:instrText xml:space="preserve"> PAGE   \* MERGEFORMAT </w:instrText>
        </w:r>
        <w:r>
          <w:fldChar w:fldCharType="separate"/>
        </w:r>
        <w:r w:rsidR="00C313A8">
          <w:rPr>
            <w:noProof/>
          </w:rPr>
          <w:t>16</w:t>
        </w:r>
        <w:r>
          <w:rPr>
            <w:noProof/>
          </w:rPr>
          <w:fldChar w:fldCharType="end"/>
        </w:r>
      </w:p>
    </w:sdtContent>
  </w:sdt>
  <w:p w14:paraId="42D6F597" w14:textId="77777777" w:rsidR="00B91D0F" w:rsidRDefault="00B9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FB9DC" w14:textId="77777777" w:rsidR="00B91D0F" w:rsidRDefault="00B91D0F" w:rsidP="00B91D0F">
      <w:r>
        <w:separator/>
      </w:r>
    </w:p>
  </w:footnote>
  <w:footnote w:type="continuationSeparator" w:id="0">
    <w:p w14:paraId="1C3280AC" w14:textId="77777777" w:rsidR="00B91D0F" w:rsidRDefault="00B91D0F" w:rsidP="00B91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35"/>
    <w:multiLevelType w:val="hybridMultilevel"/>
    <w:tmpl w:val="2EE4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460A9"/>
    <w:multiLevelType w:val="hybridMultilevel"/>
    <w:tmpl w:val="F368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A400B"/>
    <w:multiLevelType w:val="hybridMultilevel"/>
    <w:tmpl w:val="5EA43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0B294A"/>
    <w:multiLevelType w:val="hybridMultilevel"/>
    <w:tmpl w:val="908C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914D5"/>
    <w:multiLevelType w:val="hybridMultilevel"/>
    <w:tmpl w:val="B3FEC6D8"/>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5">
    <w:nsid w:val="0A2021CC"/>
    <w:multiLevelType w:val="hybridMultilevel"/>
    <w:tmpl w:val="68EC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5F76D2"/>
    <w:multiLevelType w:val="hybridMultilevel"/>
    <w:tmpl w:val="398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D2670"/>
    <w:multiLevelType w:val="hybridMultilevel"/>
    <w:tmpl w:val="A6AE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04FBA"/>
    <w:multiLevelType w:val="hybridMultilevel"/>
    <w:tmpl w:val="C88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695F0F"/>
    <w:multiLevelType w:val="hybridMultilevel"/>
    <w:tmpl w:val="3442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324AD"/>
    <w:multiLevelType w:val="hybridMultilevel"/>
    <w:tmpl w:val="92B0CE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1A2E0729"/>
    <w:multiLevelType w:val="hybridMultilevel"/>
    <w:tmpl w:val="A818295E"/>
    <w:lvl w:ilvl="0" w:tplc="0809000F">
      <w:start w:val="1"/>
      <w:numFmt w:val="decimal"/>
      <w:lvlText w:val="%1."/>
      <w:lvlJc w:val="left"/>
      <w:pPr>
        <w:ind w:left="153" w:hanging="36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1B695164"/>
    <w:multiLevelType w:val="hybridMultilevel"/>
    <w:tmpl w:val="9BE6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B4F4D"/>
    <w:multiLevelType w:val="hybridMultilevel"/>
    <w:tmpl w:val="DB76F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002410"/>
    <w:multiLevelType w:val="hybridMultilevel"/>
    <w:tmpl w:val="886AAA96"/>
    <w:lvl w:ilvl="0" w:tplc="08090001">
      <w:start w:val="1"/>
      <w:numFmt w:val="bullet"/>
      <w:lvlText w:val=""/>
      <w:lvlJc w:val="left"/>
      <w:pPr>
        <w:ind w:left="8" w:hanging="648"/>
      </w:pPr>
      <w:rPr>
        <w:rFonts w:ascii="Symbol" w:hAnsi="Symbol" w:hint="default"/>
        <w:b/>
        <w:color w:val="3E007A"/>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nsid w:val="25613DF0"/>
    <w:multiLevelType w:val="hybridMultilevel"/>
    <w:tmpl w:val="B94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D03743"/>
    <w:multiLevelType w:val="hybridMultilevel"/>
    <w:tmpl w:val="A26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E16DB"/>
    <w:multiLevelType w:val="hybridMultilevel"/>
    <w:tmpl w:val="0B46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373A0"/>
    <w:multiLevelType w:val="hybridMultilevel"/>
    <w:tmpl w:val="02B88A98"/>
    <w:lvl w:ilvl="0" w:tplc="06DC6BBC">
      <w:start w:val="1"/>
      <w:numFmt w:val="bullet"/>
      <w:lvlText w:val=""/>
      <w:lvlJc w:val="left"/>
      <w:pPr>
        <w:ind w:left="76" w:hanging="360"/>
      </w:pPr>
      <w:rPr>
        <w:rFonts w:ascii="Symbol" w:hAnsi="Symbol" w:hint="default"/>
        <w:color w:val="3E007A"/>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9">
    <w:nsid w:val="4E317F10"/>
    <w:multiLevelType w:val="hybridMultilevel"/>
    <w:tmpl w:val="94CA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903004"/>
    <w:multiLevelType w:val="hybridMultilevel"/>
    <w:tmpl w:val="52CE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9D6BAE"/>
    <w:multiLevelType w:val="hybridMultilevel"/>
    <w:tmpl w:val="5CE6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DA483C"/>
    <w:multiLevelType w:val="hybridMultilevel"/>
    <w:tmpl w:val="B1A2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C38C7"/>
    <w:multiLevelType w:val="hybridMultilevel"/>
    <w:tmpl w:val="BC4672EA"/>
    <w:lvl w:ilvl="0" w:tplc="06DC6BBC">
      <w:start w:val="1"/>
      <w:numFmt w:val="bullet"/>
      <w:lvlText w:val=""/>
      <w:lvlJc w:val="left"/>
      <w:pPr>
        <w:ind w:left="360" w:hanging="360"/>
      </w:pPr>
      <w:rPr>
        <w:rFonts w:ascii="Symbol" w:hAnsi="Symbol" w:hint="default"/>
        <w:color w:val="3E007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E502A8"/>
    <w:multiLevelType w:val="hybridMultilevel"/>
    <w:tmpl w:val="285C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862859"/>
    <w:multiLevelType w:val="hybridMultilevel"/>
    <w:tmpl w:val="4EEABD4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6CDC10B3"/>
    <w:multiLevelType w:val="hybridMultilevel"/>
    <w:tmpl w:val="E7703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8"/>
  </w:num>
  <w:num w:numId="5">
    <w:abstractNumId w:val="24"/>
  </w:num>
  <w:num w:numId="6">
    <w:abstractNumId w:val="14"/>
  </w:num>
  <w:num w:numId="7">
    <w:abstractNumId w:val="25"/>
  </w:num>
  <w:num w:numId="8">
    <w:abstractNumId w:val="13"/>
  </w:num>
  <w:num w:numId="9">
    <w:abstractNumId w:val="20"/>
  </w:num>
  <w:num w:numId="10">
    <w:abstractNumId w:val="19"/>
  </w:num>
  <w:num w:numId="11">
    <w:abstractNumId w:val="9"/>
  </w:num>
  <w:num w:numId="12">
    <w:abstractNumId w:val="17"/>
  </w:num>
  <w:num w:numId="13">
    <w:abstractNumId w:val="12"/>
  </w:num>
  <w:num w:numId="14">
    <w:abstractNumId w:val="0"/>
  </w:num>
  <w:num w:numId="15">
    <w:abstractNumId w:val="15"/>
  </w:num>
  <w:num w:numId="16">
    <w:abstractNumId w:val="16"/>
  </w:num>
  <w:num w:numId="17">
    <w:abstractNumId w:val="10"/>
  </w:num>
  <w:num w:numId="18">
    <w:abstractNumId w:val="11"/>
  </w:num>
  <w:num w:numId="19">
    <w:abstractNumId w:val="7"/>
  </w:num>
  <w:num w:numId="20">
    <w:abstractNumId w:val="21"/>
  </w:num>
  <w:num w:numId="21">
    <w:abstractNumId w:val="2"/>
  </w:num>
  <w:num w:numId="22">
    <w:abstractNumId w:val="22"/>
  </w:num>
  <w:num w:numId="23">
    <w:abstractNumId w:val="3"/>
  </w:num>
  <w:num w:numId="24">
    <w:abstractNumId w:val="1"/>
  </w:num>
  <w:num w:numId="25">
    <w:abstractNumId w:val="26"/>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3"/>
    <w:rsid w:val="000569F6"/>
    <w:rsid w:val="000873BC"/>
    <w:rsid w:val="000874F6"/>
    <w:rsid w:val="000B6562"/>
    <w:rsid w:val="000F4CF7"/>
    <w:rsid w:val="000F5472"/>
    <w:rsid w:val="0016414F"/>
    <w:rsid w:val="001713BD"/>
    <w:rsid w:val="00185383"/>
    <w:rsid w:val="00191EFB"/>
    <w:rsid w:val="00194201"/>
    <w:rsid w:val="0019703E"/>
    <w:rsid w:val="001D06F5"/>
    <w:rsid w:val="001D2A0C"/>
    <w:rsid w:val="001E30EC"/>
    <w:rsid w:val="001E34CF"/>
    <w:rsid w:val="001E42AA"/>
    <w:rsid w:val="001F1260"/>
    <w:rsid w:val="002273E8"/>
    <w:rsid w:val="00230BDC"/>
    <w:rsid w:val="0025147A"/>
    <w:rsid w:val="00251EE1"/>
    <w:rsid w:val="00285F04"/>
    <w:rsid w:val="002F02EB"/>
    <w:rsid w:val="003124C2"/>
    <w:rsid w:val="00323320"/>
    <w:rsid w:val="003303E4"/>
    <w:rsid w:val="0033586F"/>
    <w:rsid w:val="003368E8"/>
    <w:rsid w:val="00342739"/>
    <w:rsid w:val="0034751A"/>
    <w:rsid w:val="0035417E"/>
    <w:rsid w:val="003C06BA"/>
    <w:rsid w:val="003D69F6"/>
    <w:rsid w:val="003F0261"/>
    <w:rsid w:val="003F6694"/>
    <w:rsid w:val="0045392D"/>
    <w:rsid w:val="004C61BE"/>
    <w:rsid w:val="004E141E"/>
    <w:rsid w:val="004F44C5"/>
    <w:rsid w:val="00500005"/>
    <w:rsid w:val="00556F0A"/>
    <w:rsid w:val="0058185B"/>
    <w:rsid w:val="00593839"/>
    <w:rsid w:val="005A6B02"/>
    <w:rsid w:val="005B2A93"/>
    <w:rsid w:val="00617300"/>
    <w:rsid w:val="00626529"/>
    <w:rsid w:val="00640853"/>
    <w:rsid w:val="006635F4"/>
    <w:rsid w:val="0069171E"/>
    <w:rsid w:val="00691B93"/>
    <w:rsid w:val="006B01DC"/>
    <w:rsid w:val="006F2EC6"/>
    <w:rsid w:val="0070787C"/>
    <w:rsid w:val="00720AFF"/>
    <w:rsid w:val="0074417E"/>
    <w:rsid w:val="00752B40"/>
    <w:rsid w:val="00753998"/>
    <w:rsid w:val="00767BE4"/>
    <w:rsid w:val="00773DF0"/>
    <w:rsid w:val="00784F80"/>
    <w:rsid w:val="00797ACB"/>
    <w:rsid w:val="007A74E6"/>
    <w:rsid w:val="007B5D1E"/>
    <w:rsid w:val="007B7BAC"/>
    <w:rsid w:val="007E1B35"/>
    <w:rsid w:val="00820D6E"/>
    <w:rsid w:val="00822E33"/>
    <w:rsid w:val="008431D2"/>
    <w:rsid w:val="0086332B"/>
    <w:rsid w:val="00876139"/>
    <w:rsid w:val="008973DE"/>
    <w:rsid w:val="008B61BE"/>
    <w:rsid w:val="008C7123"/>
    <w:rsid w:val="008D393C"/>
    <w:rsid w:val="008E20BC"/>
    <w:rsid w:val="008E52EC"/>
    <w:rsid w:val="008F1E99"/>
    <w:rsid w:val="00940ABC"/>
    <w:rsid w:val="00955CCE"/>
    <w:rsid w:val="0096716F"/>
    <w:rsid w:val="00975AE4"/>
    <w:rsid w:val="00993BB9"/>
    <w:rsid w:val="0099758F"/>
    <w:rsid w:val="009B7D7A"/>
    <w:rsid w:val="009D10D1"/>
    <w:rsid w:val="009E74ED"/>
    <w:rsid w:val="009F2498"/>
    <w:rsid w:val="00A019D7"/>
    <w:rsid w:val="00A15F65"/>
    <w:rsid w:val="00A41884"/>
    <w:rsid w:val="00A76CDC"/>
    <w:rsid w:val="00A801FF"/>
    <w:rsid w:val="00A95FD4"/>
    <w:rsid w:val="00A96717"/>
    <w:rsid w:val="00B46282"/>
    <w:rsid w:val="00B546A8"/>
    <w:rsid w:val="00B67DD7"/>
    <w:rsid w:val="00B71C52"/>
    <w:rsid w:val="00B90C44"/>
    <w:rsid w:val="00B91D0F"/>
    <w:rsid w:val="00BB2799"/>
    <w:rsid w:val="00BC21C6"/>
    <w:rsid w:val="00BF0821"/>
    <w:rsid w:val="00C165B4"/>
    <w:rsid w:val="00C313A8"/>
    <w:rsid w:val="00C4209F"/>
    <w:rsid w:val="00CD554F"/>
    <w:rsid w:val="00CD5E0C"/>
    <w:rsid w:val="00CE439A"/>
    <w:rsid w:val="00D401B3"/>
    <w:rsid w:val="00DC7989"/>
    <w:rsid w:val="00DE4F41"/>
    <w:rsid w:val="00E118BA"/>
    <w:rsid w:val="00E675B2"/>
    <w:rsid w:val="00E82581"/>
    <w:rsid w:val="00EB1F98"/>
    <w:rsid w:val="00EC02CA"/>
    <w:rsid w:val="00EC4FA3"/>
    <w:rsid w:val="00F348A1"/>
    <w:rsid w:val="00F4735A"/>
    <w:rsid w:val="00F84506"/>
    <w:rsid w:val="00F958C1"/>
    <w:rsid w:val="00FA1FAE"/>
    <w:rsid w:val="00FC0F8C"/>
    <w:rsid w:val="00FC4D6B"/>
    <w:rsid w:val="00FD6891"/>
    <w:rsid w:val="00FE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93"/>
    <w:rPr>
      <w:rFonts w:ascii="Arial" w:eastAsia="Times New Roman" w:hAnsi="Arial" w:cs="Arial"/>
      <w:sz w:val="24"/>
      <w:szCs w:val="24"/>
      <w:lang w:eastAsia="en-US"/>
    </w:rPr>
  </w:style>
  <w:style w:type="paragraph" w:styleId="Heading3">
    <w:name w:val="heading 3"/>
    <w:basedOn w:val="Normal"/>
    <w:link w:val="Heading3Char"/>
    <w:uiPriority w:val="9"/>
    <w:qFormat/>
    <w:rsid w:val="00DE4F4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ocked/>
    <w:rsid w:val="005B2A93"/>
    <w:pPr>
      <w:spacing w:after="160" w:line="240" w:lineRule="exact"/>
    </w:pPr>
    <w:rPr>
      <w:rFonts w:ascii="Verdana" w:hAnsi="Verdana" w:cs="Verdana"/>
      <w:sz w:val="20"/>
      <w:szCs w:val="20"/>
      <w:lang w:val="en-US"/>
    </w:rPr>
  </w:style>
  <w:style w:type="paragraph" w:styleId="NormalWeb">
    <w:name w:val="Normal (Web)"/>
    <w:basedOn w:val="Normal"/>
    <w:uiPriority w:val="99"/>
    <w:rsid w:val="005B2A93"/>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5B2A93"/>
    <w:rPr>
      <w:sz w:val="22"/>
      <w:szCs w:val="22"/>
      <w:lang w:eastAsia="en-US"/>
    </w:rPr>
  </w:style>
  <w:style w:type="paragraph" w:styleId="BalloonText">
    <w:name w:val="Balloon Text"/>
    <w:basedOn w:val="Normal"/>
    <w:link w:val="BalloonTextChar"/>
    <w:uiPriority w:val="99"/>
    <w:semiHidden/>
    <w:unhideWhenUsed/>
    <w:rsid w:val="005B2A93"/>
    <w:rPr>
      <w:rFonts w:ascii="Tahoma" w:hAnsi="Tahoma" w:cs="Tahoma"/>
      <w:sz w:val="16"/>
      <w:szCs w:val="16"/>
    </w:rPr>
  </w:style>
  <w:style w:type="character" w:customStyle="1" w:styleId="BalloonTextChar">
    <w:name w:val="Balloon Text Char"/>
    <w:basedOn w:val="DefaultParagraphFont"/>
    <w:link w:val="BalloonText"/>
    <w:uiPriority w:val="99"/>
    <w:semiHidden/>
    <w:rsid w:val="005B2A9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3586F"/>
    <w:rPr>
      <w:sz w:val="16"/>
      <w:szCs w:val="16"/>
    </w:rPr>
  </w:style>
  <w:style w:type="paragraph" w:styleId="CommentText">
    <w:name w:val="annotation text"/>
    <w:basedOn w:val="Normal"/>
    <w:link w:val="CommentTextChar"/>
    <w:uiPriority w:val="99"/>
    <w:semiHidden/>
    <w:unhideWhenUsed/>
    <w:rsid w:val="0033586F"/>
    <w:rPr>
      <w:sz w:val="20"/>
      <w:szCs w:val="20"/>
    </w:rPr>
  </w:style>
  <w:style w:type="character" w:customStyle="1" w:styleId="CommentTextChar">
    <w:name w:val="Comment Text Char"/>
    <w:basedOn w:val="DefaultParagraphFont"/>
    <w:link w:val="CommentText"/>
    <w:uiPriority w:val="99"/>
    <w:semiHidden/>
    <w:rsid w:val="0033586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33586F"/>
    <w:rPr>
      <w:b/>
      <w:bCs/>
    </w:rPr>
  </w:style>
  <w:style w:type="character" w:customStyle="1" w:styleId="CommentSubjectChar">
    <w:name w:val="Comment Subject Char"/>
    <w:basedOn w:val="CommentTextChar"/>
    <w:link w:val="CommentSubject"/>
    <w:uiPriority w:val="99"/>
    <w:semiHidden/>
    <w:rsid w:val="0033586F"/>
    <w:rPr>
      <w:rFonts w:ascii="Arial" w:eastAsia="Times New Roman" w:hAnsi="Arial" w:cs="Arial"/>
      <w:b/>
      <w:bCs/>
      <w:lang w:eastAsia="en-US"/>
    </w:rPr>
  </w:style>
  <w:style w:type="paragraph" w:customStyle="1" w:styleId="Default">
    <w:name w:val="Default"/>
    <w:rsid w:val="008B61B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DE4F41"/>
    <w:rPr>
      <w:rFonts w:ascii="Times New Roman" w:eastAsia="Times New Roman" w:hAnsi="Times New Roman"/>
      <w:b/>
      <w:bCs/>
      <w:sz w:val="27"/>
      <w:szCs w:val="27"/>
    </w:rPr>
  </w:style>
  <w:style w:type="paragraph" w:styleId="ListParagraph">
    <w:name w:val="List Paragraph"/>
    <w:basedOn w:val="Normal"/>
    <w:uiPriority w:val="34"/>
    <w:qFormat/>
    <w:rsid w:val="00DE4F41"/>
    <w:pPr>
      <w:ind w:left="720"/>
      <w:contextualSpacing/>
    </w:pPr>
  </w:style>
  <w:style w:type="table" w:styleId="TableGrid">
    <w:name w:val="Table Grid"/>
    <w:basedOn w:val="TableNormal"/>
    <w:uiPriority w:val="59"/>
    <w:rsid w:val="007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0F"/>
    <w:pPr>
      <w:tabs>
        <w:tab w:val="center" w:pos="4513"/>
        <w:tab w:val="right" w:pos="9026"/>
      </w:tabs>
    </w:pPr>
  </w:style>
  <w:style w:type="character" w:customStyle="1" w:styleId="HeaderChar">
    <w:name w:val="Header Char"/>
    <w:basedOn w:val="DefaultParagraphFont"/>
    <w:link w:val="Header"/>
    <w:uiPriority w:val="99"/>
    <w:rsid w:val="00B91D0F"/>
    <w:rPr>
      <w:rFonts w:ascii="Arial" w:eastAsia="Times New Roman" w:hAnsi="Arial" w:cs="Arial"/>
      <w:sz w:val="24"/>
      <w:szCs w:val="24"/>
      <w:lang w:eastAsia="en-US"/>
    </w:rPr>
  </w:style>
  <w:style w:type="paragraph" w:styleId="Footer">
    <w:name w:val="footer"/>
    <w:basedOn w:val="Normal"/>
    <w:link w:val="FooterChar"/>
    <w:uiPriority w:val="99"/>
    <w:unhideWhenUsed/>
    <w:rsid w:val="00B91D0F"/>
    <w:pPr>
      <w:tabs>
        <w:tab w:val="center" w:pos="4513"/>
        <w:tab w:val="right" w:pos="9026"/>
      </w:tabs>
    </w:pPr>
  </w:style>
  <w:style w:type="character" w:customStyle="1" w:styleId="FooterChar">
    <w:name w:val="Footer Char"/>
    <w:basedOn w:val="DefaultParagraphFont"/>
    <w:link w:val="Footer"/>
    <w:uiPriority w:val="99"/>
    <w:rsid w:val="00B91D0F"/>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93"/>
    <w:rPr>
      <w:rFonts w:ascii="Arial" w:eastAsia="Times New Roman" w:hAnsi="Arial" w:cs="Arial"/>
      <w:sz w:val="24"/>
      <w:szCs w:val="24"/>
      <w:lang w:eastAsia="en-US"/>
    </w:rPr>
  </w:style>
  <w:style w:type="paragraph" w:styleId="Heading3">
    <w:name w:val="heading 3"/>
    <w:basedOn w:val="Normal"/>
    <w:link w:val="Heading3Char"/>
    <w:uiPriority w:val="9"/>
    <w:qFormat/>
    <w:rsid w:val="00DE4F4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locked/>
    <w:rsid w:val="005B2A93"/>
    <w:pPr>
      <w:spacing w:after="160" w:line="240" w:lineRule="exact"/>
    </w:pPr>
    <w:rPr>
      <w:rFonts w:ascii="Verdana" w:hAnsi="Verdana" w:cs="Verdana"/>
      <w:sz w:val="20"/>
      <w:szCs w:val="20"/>
      <w:lang w:val="en-US"/>
    </w:rPr>
  </w:style>
  <w:style w:type="paragraph" w:styleId="NormalWeb">
    <w:name w:val="Normal (Web)"/>
    <w:basedOn w:val="Normal"/>
    <w:uiPriority w:val="99"/>
    <w:rsid w:val="005B2A93"/>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5B2A93"/>
    <w:rPr>
      <w:sz w:val="22"/>
      <w:szCs w:val="22"/>
      <w:lang w:eastAsia="en-US"/>
    </w:rPr>
  </w:style>
  <w:style w:type="paragraph" w:styleId="BalloonText">
    <w:name w:val="Balloon Text"/>
    <w:basedOn w:val="Normal"/>
    <w:link w:val="BalloonTextChar"/>
    <w:uiPriority w:val="99"/>
    <w:semiHidden/>
    <w:unhideWhenUsed/>
    <w:rsid w:val="005B2A93"/>
    <w:rPr>
      <w:rFonts w:ascii="Tahoma" w:hAnsi="Tahoma" w:cs="Tahoma"/>
      <w:sz w:val="16"/>
      <w:szCs w:val="16"/>
    </w:rPr>
  </w:style>
  <w:style w:type="character" w:customStyle="1" w:styleId="BalloonTextChar">
    <w:name w:val="Balloon Text Char"/>
    <w:basedOn w:val="DefaultParagraphFont"/>
    <w:link w:val="BalloonText"/>
    <w:uiPriority w:val="99"/>
    <w:semiHidden/>
    <w:rsid w:val="005B2A93"/>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33586F"/>
    <w:rPr>
      <w:sz w:val="16"/>
      <w:szCs w:val="16"/>
    </w:rPr>
  </w:style>
  <w:style w:type="paragraph" w:styleId="CommentText">
    <w:name w:val="annotation text"/>
    <w:basedOn w:val="Normal"/>
    <w:link w:val="CommentTextChar"/>
    <w:uiPriority w:val="99"/>
    <w:semiHidden/>
    <w:unhideWhenUsed/>
    <w:rsid w:val="0033586F"/>
    <w:rPr>
      <w:sz w:val="20"/>
      <w:szCs w:val="20"/>
    </w:rPr>
  </w:style>
  <w:style w:type="character" w:customStyle="1" w:styleId="CommentTextChar">
    <w:name w:val="Comment Text Char"/>
    <w:basedOn w:val="DefaultParagraphFont"/>
    <w:link w:val="CommentText"/>
    <w:uiPriority w:val="99"/>
    <w:semiHidden/>
    <w:rsid w:val="0033586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33586F"/>
    <w:rPr>
      <w:b/>
      <w:bCs/>
    </w:rPr>
  </w:style>
  <w:style w:type="character" w:customStyle="1" w:styleId="CommentSubjectChar">
    <w:name w:val="Comment Subject Char"/>
    <w:basedOn w:val="CommentTextChar"/>
    <w:link w:val="CommentSubject"/>
    <w:uiPriority w:val="99"/>
    <w:semiHidden/>
    <w:rsid w:val="0033586F"/>
    <w:rPr>
      <w:rFonts w:ascii="Arial" w:eastAsia="Times New Roman" w:hAnsi="Arial" w:cs="Arial"/>
      <w:b/>
      <w:bCs/>
      <w:lang w:eastAsia="en-US"/>
    </w:rPr>
  </w:style>
  <w:style w:type="paragraph" w:customStyle="1" w:styleId="Default">
    <w:name w:val="Default"/>
    <w:rsid w:val="008B61BE"/>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DE4F41"/>
    <w:rPr>
      <w:rFonts w:ascii="Times New Roman" w:eastAsia="Times New Roman" w:hAnsi="Times New Roman"/>
      <w:b/>
      <w:bCs/>
      <w:sz w:val="27"/>
      <w:szCs w:val="27"/>
    </w:rPr>
  </w:style>
  <w:style w:type="paragraph" w:styleId="ListParagraph">
    <w:name w:val="List Paragraph"/>
    <w:basedOn w:val="Normal"/>
    <w:uiPriority w:val="34"/>
    <w:qFormat/>
    <w:rsid w:val="00DE4F41"/>
    <w:pPr>
      <w:ind w:left="720"/>
      <w:contextualSpacing/>
    </w:pPr>
  </w:style>
  <w:style w:type="table" w:styleId="TableGrid">
    <w:name w:val="Table Grid"/>
    <w:basedOn w:val="TableNormal"/>
    <w:uiPriority w:val="59"/>
    <w:rsid w:val="007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0F"/>
    <w:pPr>
      <w:tabs>
        <w:tab w:val="center" w:pos="4513"/>
        <w:tab w:val="right" w:pos="9026"/>
      </w:tabs>
    </w:pPr>
  </w:style>
  <w:style w:type="character" w:customStyle="1" w:styleId="HeaderChar">
    <w:name w:val="Header Char"/>
    <w:basedOn w:val="DefaultParagraphFont"/>
    <w:link w:val="Header"/>
    <w:uiPriority w:val="99"/>
    <w:rsid w:val="00B91D0F"/>
    <w:rPr>
      <w:rFonts w:ascii="Arial" w:eastAsia="Times New Roman" w:hAnsi="Arial" w:cs="Arial"/>
      <w:sz w:val="24"/>
      <w:szCs w:val="24"/>
      <w:lang w:eastAsia="en-US"/>
    </w:rPr>
  </w:style>
  <w:style w:type="paragraph" w:styleId="Footer">
    <w:name w:val="footer"/>
    <w:basedOn w:val="Normal"/>
    <w:link w:val="FooterChar"/>
    <w:uiPriority w:val="99"/>
    <w:unhideWhenUsed/>
    <w:rsid w:val="00B91D0F"/>
    <w:pPr>
      <w:tabs>
        <w:tab w:val="center" w:pos="4513"/>
        <w:tab w:val="right" w:pos="9026"/>
      </w:tabs>
    </w:pPr>
  </w:style>
  <w:style w:type="character" w:customStyle="1" w:styleId="FooterChar">
    <w:name w:val="Footer Char"/>
    <w:basedOn w:val="DefaultParagraphFont"/>
    <w:link w:val="Footer"/>
    <w:uiPriority w:val="99"/>
    <w:rsid w:val="00B91D0F"/>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5584">
      <w:bodyDiv w:val="1"/>
      <w:marLeft w:val="0"/>
      <w:marRight w:val="0"/>
      <w:marTop w:val="0"/>
      <w:marBottom w:val="0"/>
      <w:divBdr>
        <w:top w:val="none" w:sz="0" w:space="0" w:color="auto"/>
        <w:left w:val="none" w:sz="0" w:space="0" w:color="auto"/>
        <w:bottom w:val="none" w:sz="0" w:space="0" w:color="auto"/>
        <w:right w:val="none" w:sz="0" w:space="0" w:color="auto"/>
      </w:divBdr>
    </w:div>
    <w:div w:id="696464769">
      <w:bodyDiv w:val="1"/>
      <w:marLeft w:val="0"/>
      <w:marRight w:val="0"/>
      <w:marTop w:val="0"/>
      <w:marBottom w:val="0"/>
      <w:divBdr>
        <w:top w:val="none" w:sz="0" w:space="0" w:color="auto"/>
        <w:left w:val="none" w:sz="0" w:space="0" w:color="auto"/>
        <w:bottom w:val="none" w:sz="0" w:space="0" w:color="auto"/>
        <w:right w:val="none" w:sz="0" w:space="0" w:color="auto"/>
      </w:divBdr>
    </w:div>
    <w:div w:id="762799550">
      <w:bodyDiv w:val="1"/>
      <w:marLeft w:val="0"/>
      <w:marRight w:val="0"/>
      <w:marTop w:val="0"/>
      <w:marBottom w:val="0"/>
      <w:divBdr>
        <w:top w:val="none" w:sz="0" w:space="0" w:color="auto"/>
        <w:left w:val="none" w:sz="0" w:space="0" w:color="auto"/>
        <w:bottom w:val="none" w:sz="0" w:space="0" w:color="auto"/>
        <w:right w:val="none" w:sz="0" w:space="0" w:color="auto"/>
      </w:divBdr>
    </w:div>
    <w:div w:id="777486315">
      <w:bodyDiv w:val="1"/>
      <w:marLeft w:val="0"/>
      <w:marRight w:val="0"/>
      <w:marTop w:val="0"/>
      <w:marBottom w:val="0"/>
      <w:divBdr>
        <w:top w:val="none" w:sz="0" w:space="0" w:color="auto"/>
        <w:left w:val="none" w:sz="0" w:space="0" w:color="auto"/>
        <w:bottom w:val="none" w:sz="0" w:space="0" w:color="auto"/>
        <w:right w:val="none" w:sz="0" w:space="0" w:color="auto"/>
      </w:divBdr>
    </w:div>
    <w:div w:id="1372271222">
      <w:bodyDiv w:val="1"/>
      <w:marLeft w:val="0"/>
      <w:marRight w:val="0"/>
      <w:marTop w:val="0"/>
      <w:marBottom w:val="0"/>
      <w:divBdr>
        <w:top w:val="none" w:sz="0" w:space="0" w:color="auto"/>
        <w:left w:val="none" w:sz="0" w:space="0" w:color="auto"/>
        <w:bottom w:val="none" w:sz="0" w:space="0" w:color="auto"/>
        <w:right w:val="none" w:sz="0" w:space="0" w:color="auto"/>
      </w:divBdr>
    </w:div>
    <w:div w:id="1409880578">
      <w:bodyDiv w:val="1"/>
      <w:marLeft w:val="0"/>
      <w:marRight w:val="0"/>
      <w:marTop w:val="0"/>
      <w:marBottom w:val="0"/>
      <w:divBdr>
        <w:top w:val="none" w:sz="0" w:space="0" w:color="auto"/>
        <w:left w:val="none" w:sz="0" w:space="0" w:color="auto"/>
        <w:bottom w:val="none" w:sz="0" w:space="0" w:color="auto"/>
        <w:right w:val="none" w:sz="0" w:space="0" w:color="auto"/>
      </w:divBdr>
    </w:div>
    <w:div w:id="1519075831">
      <w:bodyDiv w:val="1"/>
      <w:marLeft w:val="0"/>
      <w:marRight w:val="0"/>
      <w:marTop w:val="0"/>
      <w:marBottom w:val="0"/>
      <w:divBdr>
        <w:top w:val="none" w:sz="0" w:space="0" w:color="auto"/>
        <w:left w:val="none" w:sz="0" w:space="0" w:color="auto"/>
        <w:bottom w:val="none" w:sz="0" w:space="0" w:color="auto"/>
        <w:right w:val="none" w:sz="0" w:space="0" w:color="auto"/>
      </w:divBdr>
      <w:divsChild>
        <w:div w:id="1005207288">
          <w:marLeft w:val="0"/>
          <w:marRight w:val="0"/>
          <w:marTop w:val="0"/>
          <w:marBottom w:val="0"/>
          <w:divBdr>
            <w:top w:val="none" w:sz="0" w:space="0" w:color="auto"/>
            <w:left w:val="none" w:sz="0" w:space="0" w:color="auto"/>
            <w:bottom w:val="none" w:sz="0" w:space="0" w:color="auto"/>
            <w:right w:val="none" w:sz="0" w:space="0" w:color="auto"/>
          </w:divBdr>
          <w:divsChild>
            <w:div w:id="1391073864">
              <w:marLeft w:val="0"/>
              <w:marRight w:val="0"/>
              <w:marTop w:val="0"/>
              <w:marBottom w:val="0"/>
              <w:divBdr>
                <w:top w:val="none" w:sz="0" w:space="0" w:color="auto"/>
                <w:left w:val="none" w:sz="0" w:space="0" w:color="auto"/>
                <w:bottom w:val="none" w:sz="0" w:space="0" w:color="auto"/>
                <w:right w:val="none" w:sz="0" w:space="0" w:color="auto"/>
              </w:divBdr>
              <w:divsChild>
                <w:div w:id="7793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bing.com/images/search?view=detailV2&amp;ccid=tdxuXisn&amp;id=2AB50CA4527ECD51C4DA8F6338DE459F50B3EE9F&amp;thid=OIP.tdxuXisnHsRmsEFXH9zEAgEsCo&amp;q=british+sign+language&amp;simid=608051187761352070&amp;selectedIndex=28&amp;adlt=stric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google.co.uk/url?sa=i&amp;rct=j&amp;q=&amp;esrc=s&amp;source=images&amp;cd=&amp;cad=rja&amp;uact=8&amp;ved=0ahUKEwjx_MSuz67XAhUSCuwKHQUoCsUQjRwIBw&amp;url=https://www.lambeth.gov.uk/events/disabled-go-lambeth-accessibilty-website-launch&amp;psig=AOvVaw2y1jfnfoBs6bSDDc7LfMH-&amp;ust=151021819835759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gif"/><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OFFICIAL-SENSITIVE</HarrowProtectiveMarking>
    <HarrowDescription xmlns="e48e9339-ef40-4192-ab59-a15ba5582753" xsi:nil="true"/>
    <HarrowMeetingDate xmlns="e48e9339-ef40-4192-ab59-a15ba5582753">2017-10-17T23:00:00+00:00</HarrowMeetingDate>
  </documentManagement>
</p:properties>
</file>

<file path=customXml/item2.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A2974EFA1D7C334F8748B2B340CE8D96" ma:contentTypeVersion="32" ma:contentTypeDescription="A document associated with a meeting or standing group." ma:contentTypeScope="" ma:versionID="d42d0bc5d44fcb1ac6e86bb5a98f58bd">
  <xsd:schema xmlns:xsd="http://www.w3.org/2001/XMLSchema" xmlns:xs="http://www.w3.org/2001/XMLSchema" xmlns:p="http://schemas.microsoft.com/office/2006/metadata/properties" xmlns:ns2="e48e9339-ef40-4192-ab59-a15ba5582753" targetNamespace="http://schemas.microsoft.com/office/2006/metadata/properties" ma:root="true" ma:fieldsID="3816a2665fb864c2c44f014e52b02d96" ns2:_="">
    <xsd:import namespace="e48e9339-ef40-4192-ab59-a15ba5582753"/>
    <xsd:element name="properties">
      <xsd:complexType>
        <xsd:sequence>
          <xsd:element name="documentManagement">
            <xsd:complexType>
              <xsd:all>
                <xsd:element ref="ns2:HarrowDescription" minOccurs="0"/>
                <xsd:element ref="ns2:HarrowProtectiveMarking"/>
                <xsd:element ref="ns2:HarrowMeetingDate"/>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HarrowMeetingDate" ma:index="10" ma:displayName="Meeting Date" ma:description="The date on which the meeting takes place." ma:format="DateOnly" ma:indexed="true" ma:internalName="HarrowMeetingDate" ma:readOnly="fals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da5a1438-be8a-4ec2-94bc-e268b52177db}" ma:internalName="TaxCatchAll" ma:showField="CatchAllData" ma:web="366960d6-9f96-4e38-ad93-f3ba673549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da5a1438-be8a-4ec2-94bc-e268b52177db}" ma:internalName="TaxCatchAllLabel" ma:readOnly="true" ma:showField="CatchAllDataLabel" ma:web="366960d6-9f96-4e38-ad93-f3ba673549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3FC2-7CE2-4E12-AAB0-D23D8D5A8781}">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48e9339-ef40-4192-ab59-a15ba5582753"/>
  </ds:schemaRefs>
</ds:datastoreItem>
</file>

<file path=customXml/itemProps2.xml><?xml version="1.0" encoding="utf-8"?>
<ds:datastoreItem xmlns:ds="http://schemas.openxmlformats.org/officeDocument/2006/customXml" ds:itemID="{03F17CAC-D33B-4EAB-A1AD-B2740CA9C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330B29-AB35-46A0-8869-B002FBAD0FB9}">
  <ds:schemaRefs>
    <ds:schemaRef ds:uri="Microsoft.SharePoint.Taxonomy.ContentTypeSync"/>
  </ds:schemaRefs>
</ds:datastoreItem>
</file>

<file path=customXml/itemProps4.xml><?xml version="1.0" encoding="utf-8"?>
<ds:datastoreItem xmlns:ds="http://schemas.openxmlformats.org/officeDocument/2006/customXml" ds:itemID="{BD9D80B3-EF82-4054-A2D5-BDBCF6116B38}">
  <ds:schemaRefs>
    <ds:schemaRef ds:uri="http://schemas.microsoft.com/sharepoint/v3/contenttype/forms"/>
  </ds:schemaRefs>
</ds:datastoreItem>
</file>

<file path=customXml/itemProps5.xml><?xml version="1.0" encoding="utf-8"?>
<ds:datastoreItem xmlns:ds="http://schemas.openxmlformats.org/officeDocument/2006/customXml" ds:itemID="{81112F1D-A9B1-445E-B1D5-70482A73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4712</Words>
  <Characters>26862</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5 - Equalities Annual Report 2016-17</vt:lpstr>
    </vt:vector>
  </TitlesOfParts>
  <Company>London Borough of Harrow</Company>
  <LinksUpToDate>false</LinksUpToDate>
  <CharactersWithSpaces>31511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 Equalities Annual Report 2016-17</dc:title>
  <dc:creator>sdar</dc:creator>
  <cp:lastModifiedBy>Rebecka Steven</cp:lastModifiedBy>
  <cp:revision>2</cp:revision>
  <dcterms:created xsi:type="dcterms:W3CDTF">2017-11-24T12:12:00Z</dcterms:created>
  <dcterms:modified xsi:type="dcterms:W3CDTF">2017-11-24T12:12:00Z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0x0101000226E4B75CFA47B488D2CEFE4DCFDD640400A2974EFA1D7C334F8748B2B340CE8D96</vt:lpwstr>
  </property>
  <property fmtid="{D5CDD505-2E9C-101B-9397-08002B2CF9AE}" pid="3" name="TaxKeyword">
    <vt:lpwstr/>
  </property>
</Properties>
</file>